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94197798"/>
        <w:docPartObj>
          <w:docPartGallery w:val="Cover Pages"/>
          <w:docPartUnique/>
        </w:docPartObj>
      </w:sdtPr>
      <w:sdtEndPr>
        <w:rPr>
          <w:rFonts w:ascii="Calibri" w:eastAsiaTheme="minorEastAsia" w:hAnsi="Calibri" w:cstheme="minorBidi"/>
          <w:sz w:val="22"/>
          <w:szCs w:val="22"/>
        </w:rPr>
      </w:sdtEndPr>
      <w:sdtContent>
        <w:p w:rsidR="00994878" w:rsidRDefault="00FD7A7E" w:rsidP="00B10BCD">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inline distT="0" distB="0" distL="0" distR="0">
                <wp:extent cx="4119245" cy="2085340"/>
                <wp:effectExtent l="19050" t="0" r="0" b="0"/>
                <wp:docPr id="1" name="Picture 1" descr="C:\Users\debra.clemons\AppData\Local\Microsoft\Windows\Temporary Internet Files\Content.Outlook\MQCB6SSP\IDH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clemons\AppData\Local\Microsoft\Windows\Temporary Internet Files\Content.Outlook\MQCB6SSP\IDHS-blk.jpg"/>
                        <pic:cNvPicPr>
                          <a:picLocks noChangeAspect="1" noChangeArrowheads="1"/>
                        </pic:cNvPicPr>
                      </pic:nvPicPr>
                      <pic:blipFill>
                        <a:blip r:embed="rId10"/>
                        <a:srcRect/>
                        <a:stretch>
                          <a:fillRect/>
                        </a:stretch>
                      </pic:blipFill>
                      <pic:spPr bwMode="auto">
                        <a:xfrm>
                          <a:off x="0" y="0"/>
                          <a:ext cx="4119245" cy="2085340"/>
                        </a:xfrm>
                        <a:prstGeom prst="rect">
                          <a:avLst/>
                        </a:prstGeom>
                        <a:noFill/>
                        <a:ln w="9525">
                          <a:noFill/>
                          <a:miter lim="800000"/>
                          <a:headEnd/>
                          <a:tailEnd/>
                        </a:ln>
                      </pic:spPr>
                    </pic:pic>
                  </a:graphicData>
                </a:graphic>
              </wp:inline>
            </w:drawing>
          </w:r>
        </w:p>
        <w:p w:rsidR="00994878" w:rsidRDefault="00994878">
          <w:pPr>
            <w:pStyle w:val="NoSpacing"/>
            <w:rPr>
              <w:rFonts w:asciiTheme="majorHAnsi" w:eastAsiaTheme="majorEastAsia" w:hAnsiTheme="majorHAnsi" w:cstheme="majorBidi"/>
              <w:sz w:val="72"/>
              <w:szCs w:val="72"/>
            </w:rPr>
          </w:pPr>
        </w:p>
        <w:p w:rsidR="00025127" w:rsidRDefault="00025127">
          <w:pPr>
            <w:pStyle w:val="NoSpacing"/>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128B9" w:rsidRDefault="00B07FB0" w:rsidP="00994878">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Division of Mental Health</w:t>
              </w:r>
            </w:p>
          </w:sdtContent>
        </w:sdt>
        <w:sdt>
          <w:sdtPr>
            <w:rPr>
              <w:rFonts w:asciiTheme="majorHAnsi" w:eastAsiaTheme="majorEastAsia" w:hAnsiTheme="majorHAnsi" w:cstheme="majorBidi"/>
              <w:sz w:val="72"/>
              <w:szCs w:val="72"/>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9128B9" w:rsidRDefault="007C1B22" w:rsidP="00994878">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72"/>
                  <w:szCs w:val="72"/>
                </w:rPr>
                <w:t>Williams Semi-Annual Report #8</w:t>
              </w:r>
            </w:p>
          </w:sdtContent>
        </w:sdt>
        <w:p w:rsidR="009128B9" w:rsidRDefault="009128B9">
          <w:pPr>
            <w:pStyle w:val="NoSpacing"/>
            <w:rPr>
              <w:rFonts w:asciiTheme="majorHAnsi" w:eastAsiaTheme="majorEastAsia" w:hAnsiTheme="majorHAnsi" w:cstheme="majorBidi"/>
              <w:sz w:val="36"/>
              <w:szCs w:val="36"/>
            </w:rPr>
          </w:pPr>
        </w:p>
        <w:p w:rsidR="009128B9" w:rsidRDefault="009128B9">
          <w:pPr>
            <w:pStyle w:val="NoSpacing"/>
            <w:rPr>
              <w:rFonts w:asciiTheme="majorHAnsi" w:eastAsiaTheme="majorEastAsia" w:hAnsiTheme="majorHAnsi" w:cstheme="majorBidi"/>
              <w:sz w:val="36"/>
              <w:szCs w:val="36"/>
            </w:rPr>
          </w:pPr>
        </w:p>
        <w:p w:rsidR="009128B9" w:rsidRDefault="009128B9">
          <w:pPr>
            <w:pStyle w:val="NoSpacing"/>
          </w:pPr>
        </w:p>
        <w:p w:rsidR="009128B9" w:rsidRDefault="009128B9"/>
        <w:p w:rsidR="009128B9" w:rsidRDefault="00994878" w:rsidP="00994878">
          <w:pPr>
            <w:jc w:val="center"/>
            <w:rPr>
              <w:rFonts w:ascii="Calibri" w:hAnsi="Calibri"/>
            </w:rPr>
          </w:pPr>
          <w:r w:rsidRPr="00994878">
            <w:rPr>
              <w:rFonts w:ascii="Calibri" w:hAnsi="Calibri"/>
              <w:noProof/>
            </w:rPr>
            <w:drawing>
              <wp:inline distT="0" distB="0" distL="0" distR="0">
                <wp:extent cx="1543050" cy="1476375"/>
                <wp:effectExtent l="0" t="0" r="0" b="9525"/>
                <wp:docPr id="2" name="Picture 2" descr="Description: cid:image002.gif@01CA7E6D.C6D6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gif@01CA7E6D.C6D60410"/>
                        <pic:cNvPicPr>
                          <a:picLocks noChangeAspect="1" noChangeArrowheads="1"/>
                        </pic:cNvPicPr>
                      </pic:nvPicPr>
                      <pic:blipFill>
                        <a:blip r:embed="rId11" r:link="rId12" cstate="print"/>
                        <a:srcRect/>
                        <a:stretch>
                          <a:fillRect/>
                        </a:stretch>
                      </pic:blipFill>
                      <pic:spPr bwMode="auto">
                        <a:xfrm>
                          <a:off x="0" y="0"/>
                          <a:ext cx="1545831" cy="1479036"/>
                        </a:xfrm>
                        <a:prstGeom prst="rect">
                          <a:avLst/>
                        </a:prstGeom>
                        <a:noFill/>
                        <a:ln w="9525">
                          <a:noFill/>
                          <a:miter lim="800000"/>
                          <a:headEnd/>
                          <a:tailEnd/>
                        </a:ln>
                      </pic:spPr>
                    </pic:pic>
                  </a:graphicData>
                </a:graphic>
              </wp:inline>
            </w:drawing>
          </w:r>
        </w:p>
      </w:sdtContent>
    </w:sdt>
    <w:p w:rsidR="00C613EF" w:rsidRDefault="00C613EF" w:rsidP="00C613EF"/>
    <w:sdt>
      <w:sdtPr>
        <w:alias w:val="Date"/>
        <w:id w:val="14700083"/>
        <w:dataBinding w:prefixMappings="xmlns:ns0='http://schemas.microsoft.com/office/2006/coverPageProps'" w:xpath="/ns0:CoverPageProperties[1]/ns0:PublishDate[1]" w:storeItemID="{55AF091B-3C7A-41E3-B477-F2FDAA23CFDA}"/>
        <w:date w:fullDate="2015-06-01T00:00:00Z">
          <w:dateFormat w:val="M/d/yyyy"/>
          <w:lid w:val="en-US"/>
          <w:storeMappedDataAs w:val="dateTime"/>
          <w:calendar w:val="gregorian"/>
        </w:date>
      </w:sdtPr>
      <w:sdtEndPr/>
      <w:sdtContent>
        <w:p w:rsidR="00994878" w:rsidRDefault="007C1B22" w:rsidP="00994878">
          <w:pPr>
            <w:pStyle w:val="NoSpacing"/>
          </w:pPr>
          <w:r>
            <w:t>6/1/2015</w:t>
          </w:r>
        </w:p>
      </w:sdtContent>
    </w:sdt>
    <w:p w:rsidR="00994878" w:rsidRDefault="00994878" w:rsidP="00C613EF"/>
    <w:p w:rsidR="00994878" w:rsidRDefault="00994878" w:rsidP="00C613EF"/>
    <w:p w:rsidR="00C613EF" w:rsidRPr="00CC3FAF" w:rsidRDefault="00C613EF" w:rsidP="00C613EF">
      <w:pPr>
        <w:spacing w:after="0"/>
        <w:jc w:val="center"/>
        <w:rPr>
          <w:b/>
          <w:sz w:val="24"/>
          <w:szCs w:val="24"/>
        </w:rPr>
      </w:pPr>
      <w:r w:rsidRPr="00CC3FAF">
        <w:rPr>
          <w:b/>
          <w:sz w:val="24"/>
          <w:szCs w:val="24"/>
        </w:rPr>
        <w:t>Contents</w:t>
      </w:r>
    </w:p>
    <w:p w:rsidR="001F7A3D" w:rsidRDefault="001F7A3D" w:rsidP="00570FCA"/>
    <w:p w:rsidR="001F7A3D" w:rsidRDefault="00C9015F" w:rsidP="00152C67">
      <w:pPr>
        <w:spacing w:after="0"/>
      </w:pPr>
      <w:r>
        <w:tab/>
      </w:r>
      <w:r>
        <w:tab/>
      </w:r>
      <w:r>
        <w:tab/>
      </w:r>
      <w:r>
        <w:tab/>
      </w:r>
      <w:r>
        <w:tab/>
      </w:r>
      <w:r>
        <w:tab/>
      </w:r>
      <w:r>
        <w:tab/>
      </w:r>
      <w:r>
        <w:tab/>
      </w:r>
      <w:r>
        <w:tab/>
      </w:r>
      <w:r>
        <w:tab/>
      </w:r>
      <w:r>
        <w:tab/>
      </w:r>
      <w:r w:rsidR="00ED044C">
        <w:t xml:space="preserve">         </w:t>
      </w:r>
      <w:r>
        <w:t>Page</w:t>
      </w:r>
    </w:p>
    <w:p w:rsidR="00C9015F" w:rsidRDefault="00152C67" w:rsidP="001B7C1B">
      <w:pPr>
        <w:spacing w:after="0" w:line="480" w:lineRule="auto"/>
      </w:pPr>
      <w:r w:rsidRPr="003C5546">
        <w:t>EXECUTIVE SUMMARY</w:t>
      </w:r>
      <w:r w:rsidR="003C5546" w:rsidRPr="003C5546">
        <w:t>……………………………………………………………………………………………</w:t>
      </w:r>
      <w:r w:rsidR="002F100C">
        <w:t>.</w:t>
      </w:r>
      <w:r w:rsidR="003C5546">
        <w:t>…</w:t>
      </w:r>
      <w:r w:rsidR="00FC56C3">
        <w:t>.</w:t>
      </w:r>
      <w:r w:rsidR="003C5546">
        <w:t>…</w:t>
      </w:r>
      <w:r w:rsidR="00FC56C3">
        <w:t>.</w:t>
      </w:r>
      <w:r w:rsidR="003C5546">
        <w:t>……</w:t>
      </w:r>
      <w:r w:rsidR="00ED044C">
        <w:t>.………</w:t>
      </w:r>
      <w:r w:rsidR="00C9015F">
        <w:t>3</w:t>
      </w:r>
    </w:p>
    <w:p w:rsidR="00152C67" w:rsidRPr="003C5546" w:rsidRDefault="00152C67" w:rsidP="001B7C1B">
      <w:pPr>
        <w:spacing w:after="0" w:line="480" w:lineRule="auto"/>
      </w:pPr>
      <w:r w:rsidRPr="003C5546">
        <w:t>OUTREACH AND INFORMATION DISSIMINATION</w:t>
      </w:r>
      <w:r w:rsidR="00B87FBC">
        <w:t>……</w:t>
      </w:r>
      <w:r w:rsidR="003C5546" w:rsidRPr="003C5546">
        <w:t>…</w:t>
      </w:r>
      <w:r w:rsidR="002F100C">
        <w:t>…</w:t>
      </w:r>
      <w:r w:rsidR="003C5546" w:rsidRPr="003C5546">
        <w:t>…………………………………………</w:t>
      </w:r>
      <w:r w:rsidR="002F100C">
        <w:t>.</w:t>
      </w:r>
      <w:r w:rsidR="003C5546">
        <w:t>…</w:t>
      </w:r>
      <w:r w:rsidR="00FC56C3">
        <w:t>…</w:t>
      </w:r>
      <w:r w:rsidR="00ED044C">
        <w:t>…….……...</w:t>
      </w:r>
      <w:r w:rsidR="00025127">
        <w:t>.</w:t>
      </w:r>
      <w:r w:rsidR="00C9015F">
        <w:t>4</w:t>
      </w:r>
      <w:r w:rsidR="00B87FBC">
        <w:t xml:space="preserve"> </w:t>
      </w:r>
    </w:p>
    <w:p w:rsidR="00152C67" w:rsidRPr="003C5546" w:rsidRDefault="00152C67" w:rsidP="001B7C1B">
      <w:pPr>
        <w:spacing w:after="0" w:line="480" w:lineRule="auto"/>
      </w:pPr>
      <w:r w:rsidRPr="003C5546">
        <w:t>RESIDENT REVIEW</w:t>
      </w:r>
      <w:r w:rsidR="00025127">
        <w:t>……………………………………………………………………………………………………………………....</w:t>
      </w:r>
      <w:r w:rsidR="00C9015F">
        <w:t>8</w:t>
      </w:r>
      <w:r w:rsidR="00B87FBC">
        <w:t xml:space="preserve"> </w:t>
      </w:r>
    </w:p>
    <w:p w:rsidR="00152C67" w:rsidRPr="003C5546" w:rsidRDefault="00152C67" w:rsidP="001B7C1B">
      <w:pPr>
        <w:spacing w:after="0" w:line="480" w:lineRule="auto"/>
      </w:pPr>
      <w:r w:rsidRPr="003C5546">
        <w:t>TRANSITION COORDINATION/COMMUNITY SERVICES</w:t>
      </w:r>
      <w:r w:rsidR="003C5546" w:rsidRPr="003C5546">
        <w:t>………………………………………………</w:t>
      </w:r>
      <w:r w:rsidR="003C5546">
        <w:t>……</w:t>
      </w:r>
      <w:r w:rsidR="00ED044C">
        <w:t>………</w:t>
      </w:r>
      <w:r w:rsidR="00025127">
        <w:t>.</w:t>
      </w:r>
      <w:r w:rsidR="00ED044C">
        <w:t>….</w:t>
      </w:r>
      <w:r w:rsidR="00C9015F">
        <w:t>12</w:t>
      </w:r>
      <w:r w:rsidR="00B87FBC">
        <w:t xml:space="preserve"> </w:t>
      </w:r>
    </w:p>
    <w:p w:rsidR="00152C67" w:rsidRPr="003C5546" w:rsidRDefault="00152C67" w:rsidP="001B7C1B">
      <w:pPr>
        <w:spacing w:after="0" w:line="480" w:lineRule="auto"/>
      </w:pPr>
      <w:r w:rsidRPr="003C5546">
        <w:t>HOUSING</w:t>
      </w:r>
      <w:r w:rsidR="003C5546" w:rsidRPr="003C5546">
        <w:t>…………………………………………………………………………………………………………………</w:t>
      </w:r>
      <w:r w:rsidR="003C5546">
        <w:t>……………</w:t>
      </w:r>
      <w:r w:rsidR="00ED044C">
        <w:t>…….</w:t>
      </w:r>
      <w:r w:rsidR="00C9015F">
        <w:t>26</w:t>
      </w:r>
      <w:r w:rsidR="00B87FBC">
        <w:t xml:space="preserve"> </w:t>
      </w:r>
    </w:p>
    <w:p w:rsidR="00152C67" w:rsidRPr="003C5546" w:rsidRDefault="00152C67" w:rsidP="001B7C1B">
      <w:pPr>
        <w:spacing w:after="0" w:line="480" w:lineRule="auto"/>
      </w:pPr>
      <w:r w:rsidRPr="003C5546">
        <w:t xml:space="preserve">REPORTABLE INCIDENTS </w:t>
      </w:r>
      <w:r w:rsidR="003C5546" w:rsidRPr="003C5546">
        <w:t>…………………………………………………………………………………………</w:t>
      </w:r>
      <w:r w:rsidR="003C5546">
        <w:t>……</w:t>
      </w:r>
      <w:r w:rsidR="00ED044C">
        <w:t>…</w:t>
      </w:r>
      <w:r w:rsidR="003C5546">
        <w:t>……</w:t>
      </w:r>
      <w:r w:rsidR="00ED044C">
        <w:t>……</w:t>
      </w:r>
      <w:r w:rsidR="00025127">
        <w:t>.</w:t>
      </w:r>
      <w:r w:rsidR="00C9015F">
        <w:t>35</w:t>
      </w:r>
      <w:r w:rsidR="00B87FBC">
        <w:t xml:space="preserve"> </w:t>
      </w:r>
    </w:p>
    <w:p w:rsidR="00564209" w:rsidRPr="003C5546" w:rsidRDefault="00564209" w:rsidP="001B7C1B">
      <w:pPr>
        <w:spacing w:after="0" w:line="480" w:lineRule="auto"/>
      </w:pPr>
      <w:r w:rsidRPr="003C5546">
        <w:t>QUALITY</w:t>
      </w:r>
      <w:r w:rsidR="002D0CBF">
        <w:t xml:space="preserve"> MANAGEMENT/</w:t>
      </w:r>
      <w:r w:rsidRPr="003C5546">
        <w:t>MONITORING</w:t>
      </w:r>
      <w:r w:rsidR="003C5546" w:rsidRPr="003C5546">
        <w:t>…</w:t>
      </w:r>
      <w:r w:rsidR="002D0CBF">
        <w:t>.</w:t>
      </w:r>
      <w:r w:rsidR="003C5546" w:rsidRPr="003C5546">
        <w:t>……………………………………………………………</w:t>
      </w:r>
      <w:r w:rsidR="003C5546">
        <w:t>…………</w:t>
      </w:r>
      <w:r w:rsidR="00ED044C">
        <w:t>….…..</w:t>
      </w:r>
      <w:r w:rsidR="003C5546">
        <w:t>…</w:t>
      </w:r>
      <w:r w:rsidR="00C9015F">
        <w:t>36</w:t>
      </w:r>
      <w:r w:rsidR="00B87FBC">
        <w:t xml:space="preserve"> </w:t>
      </w:r>
    </w:p>
    <w:p w:rsidR="005B4AF3" w:rsidRPr="003C5546" w:rsidRDefault="005B4AF3" w:rsidP="001B7C1B">
      <w:pPr>
        <w:spacing w:after="0" w:line="480" w:lineRule="auto"/>
      </w:pPr>
      <w:r w:rsidRPr="003C5546">
        <w:t>BUDGET</w:t>
      </w:r>
      <w:r w:rsidR="003C5546" w:rsidRPr="003C5546">
        <w:t>………………………………………………………………………………………………………………</w:t>
      </w:r>
      <w:r w:rsidR="003C5546">
        <w:t>…………</w:t>
      </w:r>
      <w:r w:rsidR="00ED044C">
        <w:t>…………</w:t>
      </w:r>
      <w:r w:rsidR="00025127">
        <w:t>..</w:t>
      </w:r>
      <w:r w:rsidR="00C9015F">
        <w:t>37</w:t>
      </w:r>
      <w:r w:rsidR="00B87FBC">
        <w:t xml:space="preserve"> </w:t>
      </w:r>
    </w:p>
    <w:p w:rsidR="005B4AF3" w:rsidRPr="003C5546" w:rsidRDefault="005B4AF3" w:rsidP="001B7C1B">
      <w:pPr>
        <w:spacing w:after="0" w:line="480" w:lineRule="auto"/>
      </w:pPr>
      <w:r w:rsidRPr="003C5546">
        <w:t>CALLS, COMPLAINTS, GRIEVANCES, APPEALS</w:t>
      </w:r>
      <w:r w:rsidR="003C5546" w:rsidRPr="003C5546">
        <w:t>…………………………………………………………</w:t>
      </w:r>
      <w:r w:rsidR="003C5546">
        <w:t>…………</w:t>
      </w:r>
      <w:r w:rsidR="00ED044C">
        <w:t>………</w:t>
      </w:r>
      <w:r w:rsidR="003C5546">
        <w:t>.</w:t>
      </w:r>
      <w:r w:rsidR="00C9015F">
        <w:t>37</w:t>
      </w:r>
      <w:r w:rsidR="00B87FBC">
        <w:t xml:space="preserve"> </w:t>
      </w:r>
    </w:p>
    <w:p w:rsidR="005B4AF3" w:rsidRPr="003C5546" w:rsidRDefault="005B4AF3" w:rsidP="005B4AF3">
      <w:pPr>
        <w:spacing w:after="0" w:line="480" w:lineRule="auto"/>
      </w:pPr>
    </w:p>
    <w:p w:rsidR="005B4AF3" w:rsidRDefault="005B4AF3" w:rsidP="005B4AF3">
      <w:pPr>
        <w:spacing w:after="0" w:line="480" w:lineRule="auto"/>
        <w:rPr>
          <w:b/>
        </w:rPr>
      </w:pPr>
    </w:p>
    <w:p w:rsidR="00673EE0" w:rsidRDefault="00673EE0" w:rsidP="005B4AF3">
      <w:pPr>
        <w:spacing w:after="0" w:line="480" w:lineRule="auto"/>
        <w:rPr>
          <w:b/>
        </w:rPr>
      </w:pPr>
    </w:p>
    <w:p w:rsidR="00564209" w:rsidRDefault="00564209" w:rsidP="005B4AF3">
      <w:pPr>
        <w:spacing w:after="0" w:line="480" w:lineRule="auto"/>
        <w:rPr>
          <w:b/>
        </w:rPr>
      </w:pPr>
    </w:p>
    <w:p w:rsidR="00564209" w:rsidRDefault="00564209" w:rsidP="00152C67">
      <w:pPr>
        <w:spacing w:after="0"/>
        <w:rPr>
          <w:b/>
        </w:rPr>
      </w:pPr>
    </w:p>
    <w:p w:rsidR="00C51B57" w:rsidRDefault="00C51B57" w:rsidP="00152C67">
      <w:pPr>
        <w:spacing w:after="0"/>
        <w:rPr>
          <w:b/>
        </w:rPr>
      </w:pPr>
    </w:p>
    <w:p w:rsidR="00C51B57" w:rsidRDefault="00C51B57" w:rsidP="00152C67">
      <w:pPr>
        <w:spacing w:after="0"/>
        <w:rPr>
          <w:b/>
        </w:rPr>
      </w:pPr>
    </w:p>
    <w:p w:rsidR="00C51B57" w:rsidRDefault="00C51B57" w:rsidP="00152C67">
      <w:pPr>
        <w:spacing w:after="0"/>
        <w:rPr>
          <w:b/>
        </w:rPr>
      </w:pPr>
    </w:p>
    <w:p w:rsidR="001F7A3D" w:rsidRDefault="001F7A3D" w:rsidP="00570FCA"/>
    <w:p w:rsidR="001F7A3D" w:rsidRDefault="001F7A3D" w:rsidP="00570FCA"/>
    <w:p w:rsidR="00C51B57" w:rsidRDefault="00C51B57"/>
    <w:p w:rsidR="00014AD9" w:rsidRDefault="00014AD9">
      <w:r>
        <w:br w:type="page"/>
      </w:r>
    </w:p>
    <w:p w:rsidR="00C613EF" w:rsidRPr="00AD5593" w:rsidRDefault="00C613EF" w:rsidP="00C613EF">
      <w:pPr>
        <w:spacing w:after="0"/>
        <w:jc w:val="center"/>
        <w:rPr>
          <w:b/>
          <w:sz w:val="24"/>
          <w:szCs w:val="24"/>
        </w:rPr>
      </w:pPr>
      <w:r w:rsidRPr="00F865FC">
        <w:rPr>
          <w:b/>
          <w:sz w:val="24"/>
          <w:szCs w:val="24"/>
        </w:rPr>
        <w:lastRenderedPageBreak/>
        <w:t>EXECUTIVE SUMMARY</w:t>
      </w:r>
    </w:p>
    <w:p w:rsidR="00C613EF" w:rsidRPr="00FD13F7" w:rsidRDefault="00FD13F7" w:rsidP="00C613EF">
      <w:pPr>
        <w:jc w:val="center"/>
      </w:pPr>
      <w:r>
        <w:rPr>
          <w:u w:val="thick"/>
        </w:rPr>
        <w:t>__________________________</w:t>
      </w:r>
      <w:r w:rsidR="00A63755">
        <w:rPr>
          <w:u w:val="thick"/>
        </w:rPr>
        <w:t>____</w:t>
      </w:r>
      <w:r>
        <w:rPr>
          <w:u w:val="thick"/>
        </w:rPr>
        <w:t>___________________________</w:t>
      </w:r>
    </w:p>
    <w:p w:rsidR="00FA2246" w:rsidRDefault="00FA2246" w:rsidP="00B00307">
      <w:pPr>
        <w:spacing w:after="0"/>
      </w:pPr>
      <w:r w:rsidRPr="00FA2246">
        <w:t>The State of Illinois Department of Human Services/Division of Mental Health and its partners submit this 8</w:t>
      </w:r>
      <w:r w:rsidRPr="00FA2246">
        <w:rPr>
          <w:vertAlign w:val="superscript"/>
        </w:rPr>
        <w:t>th</w:t>
      </w:r>
      <w:r w:rsidRPr="00FA2246">
        <w:t xml:space="preserve"> Semi-Annual Report.  This report reflects the period from January 1, 2015 through June 30, 2015.   As the State winds down this fourth year of implementation, we are consciously aware of the numerous challenges that we have faced over the past four years in our attempts to meet the</w:t>
      </w:r>
      <w:r w:rsidR="0023343D">
        <w:t xml:space="preserve"> various requirements</w:t>
      </w:r>
      <w:r w:rsidRPr="00FA2246">
        <w:t xml:space="preserve"> of the Consent Decree.  Concurrently, we are aware of the benefits that have evolved by bringing into fruition a light of encouragement and hope for those Class Members who have transitioned from one of the 24 IMDs to their optimal level of community independence.   </w:t>
      </w:r>
    </w:p>
    <w:p w:rsidR="00966B92" w:rsidRPr="00FA2246" w:rsidRDefault="00966B92" w:rsidP="00B00307">
      <w:pPr>
        <w:spacing w:after="0"/>
      </w:pPr>
    </w:p>
    <w:p w:rsidR="00FA2246" w:rsidRDefault="00FA2246" w:rsidP="00B00307">
      <w:pPr>
        <w:spacing w:after="0"/>
      </w:pPr>
      <w:r w:rsidRPr="00FA2246">
        <w:t xml:space="preserve">We have </w:t>
      </w:r>
      <w:r w:rsidR="00DA1DEE">
        <w:t xml:space="preserve">identified </w:t>
      </w:r>
      <w:r w:rsidRPr="00FA2246">
        <w:t xml:space="preserve">numerous </w:t>
      </w:r>
      <w:r w:rsidR="00DA1DEE">
        <w:t>areas</w:t>
      </w:r>
      <w:r w:rsidRPr="00FA2246">
        <w:t xml:space="preserve"> where changes can/should be made and how to make these changes expeditiously, with integrity and with assurances of </w:t>
      </w:r>
      <w:r w:rsidR="00DA1DEE">
        <w:t xml:space="preserve">the </w:t>
      </w:r>
      <w:r w:rsidRPr="00FA2246">
        <w:t xml:space="preserve">desired outcome.   We acknowledge that the best effort attempts may not always be the ‘right attempt’ or </w:t>
      </w:r>
      <w:r w:rsidR="00DA1DEE">
        <w:t xml:space="preserve">result in the desired </w:t>
      </w:r>
      <w:r w:rsidRPr="00FA2246">
        <w:t xml:space="preserve">change for every Class Member.  We have opened doors to hear and embrace the consumer’s voice, and yet, we have learned to respect that voice regardless of the message conveyed.   It is with the same level of respect that the State continues to motivate our community CMHCs, other contracted vendors, and controversially, the IMDs on the vision and mission at hand. </w:t>
      </w:r>
    </w:p>
    <w:p w:rsidR="00966B92" w:rsidRPr="00FA2246" w:rsidRDefault="00966B92" w:rsidP="00B00307">
      <w:pPr>
        <w:spacing w:after="0"/>
      </w:pPr>
    </w:p>
    <w:p w:rsidR="00FA2246" w:rsidRDefault="00FA2246" w:rsidP="00B00307">
      <w:pPr>
        <w:spacing w:after="0"/>
      </w:pPr>
      <w:r w:rsidRPr="00FA2246">
        <w:t xml:space="preserve">We have seen concerted efforts made by the Chicago Housing Authority to be more sensitive to the housing needs of Williams (and Colbert) Class Members which materialized in Class Members actually receiving face-to-face interviews with the Housing Authority for Housing Choice (Section 8) Vouchers.  Never before has the barrier that limited access to Housing Choice Vouchers for residents of nursing homes been penetrated.  We are hopeful that the majority of these Class Members will now become holders of a permanent voucher, thus redirecting Bridge Subsidies back to the State for usage.     </w:t>
      </w:r>
    </w:p>
    <w:p w:rsidR="00966B92" w:rsidRPr="00FA2246" w:rsidRDefault="00966B92" w:rsidP="00B00307">
      <w:pPr>
        <w:spacing w:after="0"/>
      </w:pPr>
    </w:p>
    <w:p w:rsidR="00FA2246" w:rsidRDefault="00FA2246" w:rsidP="00B00307">
      <w:pPr>
        <w:spacing w:after="0"/>
      </w:pPr>
      <w:r w:rsidRPr="00FA2246">
        <w:t>We are anxiously anticipating that the State’s community partners will reach their pinnacle in achieving the target number of transitions for this fiscal year.  There was clear uncertainty of this attainment four months ago, but that is a remote memory secondary to the dedication, commitment and perseverance of these agencies and key staff in facilitating seamless transition processes.  There currently exists the formalization and implement</w:t>
      </w:r>
      <w:r w:rsidR="00DA1DEE">
        <w:t>ation</w:t>
      </w:r>
      <w:r w:rsidRPr="00FA2246">
        <w:t xml:space="preserve"> of several contractual relationships with major academic institutions that will, hopefully accelerate the State’s information on transition readiness for many Class Members who, heretofore, were not considered to be transition candidates.  </w:t>
      </w:r>
    </w:p>
    <w:p w:rsidR="00966B92" w:rsidRPr="00FA2246" w:rsidRDefault="00966B92" w:rsidP="00B00307">
      <w:pPr>
        <w:spacing w:after="0"/>
      </w:pPr>
    </w:p>
    <w:p w:rsidR="00FA2246" w:rsidRDefault="00FA2246" w:rsidP="00B00307">
      <w:pPr>
        <w:spacing w:after="0"/>
      </w:pPr>
      <w:r w:rsidRPr="00FA2246">
        <w:t xml:space="preserve">What remains is the challenge of better understanding dynamics around Class Members who ‘decline’ to transition after being approved, and why other Class Members return to the facilities.  The UIC study commissioned to explore a sample of the population who ‘decline’ will hopefully uncover some of the missing links why Class Members elect the option not to transition.   Concurrently, the study on why some Class Members return to the IMDs will be useful information to uncover the missing links that may still exist in the spectrum of </w:t>
      </w:r>
      <w:r w:rsidR="00DA1DEE">
        <w:t xml:space="preserve">the </w:t>
      </w:r>
      <w:r w:rsidRPr="00FA2246">
        <w:t>community service array.</w:t>
      </w:r>
    </w:p>
    <w:p w:rsidR="00F865FC" w:rsidRPr="00FA2246" w:rsidRDefault="00F865FC" w:rsidP="00B00307">
      <w:pPr>
        <w:spacing w:after="0"/>
      </w:pPr>
    </w:p>
    <w:p w:rsidR="00FA2246" w:rsidRPr="00FA2246" w:rsidRDefault="00FA2246" w:rsidP="00B00307">
      <w:pPr>
        <w:spacing w:after="0"/>
      </w:pPr>
      <w:r w:rsidRPr="00FA2246">
        <w:lastRenderedPageBreak/>
        <w:t xml:space="preserve">As the State embarks on year 5, our attention is on those ‘lessons learned’ as we attempt to effectively structure resources to meet the needs of Class Members for whom the agencies have concerns about their treatment, management and safety needs in independent living.   Some of the Front Door planning processes will become useful strategies with resources and supports for a segment of this population.  </w:t>
      </w:r>
    </w:p>
    <w:p w:rsidR="00FA2246" w:rsidRDefault="00FA2246" w:rsidP="00B00307">
      <w:pPr>
        <w:spacing w:after="0"/>
      </w:pPr>
      <w:r w:rsidRPr="00FA2246">
        <w:t>The following information summarizes the progress that the State and its partners have made over the past six months in meeting the fabric of this Consent Decree.</w:t>
      </w:r>
    </w:p>
    <w:p w:rsidR="00A63755" w:rsidRDefault="00A63755" w:rsidP="00A63755">
      <w:pPr>
        <w:spacing w:after="0"/>
      </w:pPr>
    </w:p>
    <w:p w:rsidR="00A63755" w:rsidRDefault="00A63755" w:rsidP="00A63755">
      <w:pPr>
        <w:spacing w:after="0"/>
      </w:pPr>
    </w:p>
    <w:p w:rsidR="00A63755" w:rsidRDefault="00A63755" w:rsidP="00A63755">
      <w:pPr>
        <w:spacing w:after="0"/>
      </w:pPr>
    </w:p>
    <w:p w:rsidR="00A63755" w:rsidRDefault="00A63755" w:rsidP="00A63755">
      <w:pPr>
        <w:spacing w:after="0"/>
      </w:pPr>
    </w:p>
    <w:p w:rsidR="00DF444F" w:rsidRPr="00AD5593" w:rsidRDefault="00DF444F" w:rsidP="00A63755">
      <w:pPr>
        <w:spacing w:after="0"/>
        <w:jc w:val="center"/>
        <w:rPr>
          <w:b/>
          <w:sz w:val="24"/>
          <w:szCs w:val="24"/>
        </w:rPr>
      </w:pPr>
      <w:r w:rsidRPr="00AD5593">
        <w:rPr>
          <w:b/>
          <w:sz w:val="24"/>
          <w:szCs w:val="24"/>
        </w:rPr>
        <w:t>OUTREACH AND INFORMATION DISSIMINATION</w:t>
      </w:r>
    </w:p>
    <w:p w:rsidR="00DF444F" w:rsidRPr="00FD13F7" w:rsidRDefault="00FD13F7" w:rsidP="00DF444F">
      <w:pPr>
        <w:jc w:val="center"/>
      </w:pPr>
      <w:r>
        <w:rPr>
          <w:u w:val="thick"/>
        </w:rPr>
        <w:t>_______________</w:t>
      </w:r>
      <w:r w:rsidR="00A63755">
        <w:rPr>
          <w:u w:val="thick"/>
        </w:rPr>
        <w:t>______</w:t>
      </w:r>
      <w:r>
        <w:rPr>
          <w:u w:val="thick"/>
        </w:rPr>
        <w:t>___________________________________</w:t>
      </w:r>
    </w:p>
    <w:p w:rsidR="00C20BCF" w:rsidRPr="00C20BCF" w:rsidRDefault="00C20BCF" w:rsidP="00F21DAB">
      <w:pPr>
        <w:spacing w:after="0"/>
        <w:rPr>
          <w:rFonts w:cs="Times New Roman"/>
        </w:rPr>
      </w:pPr>
      <w:r w:rsidRPr="00C20BCF">
        <w:rPr>
          <w:rFonts w:cs="Times New Roman"/>
        </w:rPr>
        <w:t xml:space="preserve">The </w:t>
      </w:r>
      <w:r w:rsidR="00464777">
        <w:rPr>
          <w:rFonts w:cs="Times New Roman"/>
        </w:rPr>
        <w:t xml:space="preserve">NAMI </w:t>
      </w:r>
      <w:r w:rsidR="0077488F">
        <w:rPr>
          <w:rFonts w:cs="Times New Roman"/>
        </w:rPr>
        <w:t xml:space="preserve">Chicago </w:t>
      </w:r>
      <w:r w:rsidR="006F33C7">
        <w:rPr>
          <w:rFonts w:cs="Times New Roman"/>
        </w:rPr>
        <w:t>o</w:t>
      </w:r>
      <w:r w:rsidRPr="00C20BCF">
        <w:rPr>
          <w:rFonts w:cs="Times New Roman"/>
        </w:rPr>
        <w:t xml:space="preserve">utreach </w:t>
      </w:r>
      <w:r w:rsidR="006F33C7">
        <w:rPr>
          <w:rFonts w:cs="Times New Roman"/>
        </w:rPr>
        <w:t>t</w:t>
      </w:r>
      <w:r w:rsidRPr="00C20BCF">
        <w:rPr>
          <w:rFonts w:cs="Times New Roman"/>
        </w:rPr>
        <w:t xml:space="preserve">eam is continuing </w:t>
      </w:r>
      <w:r w:rsidR="00464777">
        <w:rPr>
          <w:rFonts w:cs="Times New Roman"/>
        </w:rPr>
        <w:t xml:space="preserve">in </w:t>
      </w:r>
      <w:r w:rsidRPr="00C20BCF">
        <w:rPr>
          <w:rFonts w:cs="Times New Roman"/>
        </w:rPr>
        <w:t>their regular day to day operations</w:t>
      </w:r>
      <w:r w:rsidR="00A73318">
        <w:rPr>
          <w:rFonts w:cs="Times New Roman"/>
        </w:rPr>
        <w:t xml:space="preserve"> as </w:t>
      </w:r>
      <w:r w:rsidRPr="00C20BCF">
        <w:rPr>
          <w:rFonts w:cs="Times New Roman"/>
        </w:rPr>
        <w:t xml:space="preserve">the first point of contact for Williams </w:t>
      </w:r>
      <w:r w:rsidR="00944086">
        <w:rPr>
          <w:rFonts w:cs="Times New Roman"/>
        </w:rPr>
        <w:t>Class Members</w:t>
      </w:r>
      <w:r w:rsidRPr="00C20BCF">
        <w:rPr>
          <w:rFonts w:cs="Times New Roman"/>
        </w:rPr>
        <w:t xml:space="preserve"> and their families, who would like information on the Williams Consent Decree.  Each time the </w:t>
      </w:r>
      <w:r w:rsidR="006F33C7">
        <w:rPr>
          <w:rFonts w:cs="Times New Roman"/>
        </w:rPr>
        <w:t>o</w:t>
      </w:r>
      <w:r w:rsidRPr="00C20BCF">
        <w:rPr>
          <w:rFonts w:cs="Times New Roman"/>
        </w:rPr>
        <w:t xml:space="preserve">utreach </w:t>
      </w:r>
      <w:r w:rsidR="006F33C7">
        <w:rPr>
          <w:rFonts w:cs="Times New Roman"/>
        </w:rPr>
        <w:t>w</w:t>
      </w:r>
      <w:r w:rsidRPr="00C20BCF">
        <w:rPr>
          <w:rFonts w:cs="Times New Roman"/>
        </w:rPr>
        <w:t>orkers go to the IMDs they engag</w:t>
      </w:r>
      <w:r w:rsidR="00DA1DEE">
        <w:rPr>
          <w:rFonts w:cs="Times New Roman"/>
        </w:rPr>
        <w:t>e</w:t>
      </w:r>
      <w:r w:rsidRPr="00C20BCF">
        <w:rPr>
          <w:rFonts w:cs="Times New Roman"/>
        </w:rPr>
        <w:t xml:space="preserve"> with new </w:t>
      </w:r>
      <w:r w:rsidR="00944086">
        <w:rPr>
          <w:rFonts w:cs="Times New Roman"/>
        </w:rPr>
        <w:t>Class Members</w:t>
      </w:r>
      <w:r w:rsidRPr="00C20BCF">
        <w:rPr>
          <w:rFonts w:cs="Times New Roman"/>
        </w:rPr>
        <w:t xml:space="preserve"> and inform them of their rights and options under the Williams Consent Decree.  They are the connecting point between </w:t>
      </w:r>
      <w:r w:rsidR="00944086">
        <w:rPr>
          <w:rFonts w:cs="Times New Roman"/>
        </w:rPr>
        <w:t>Class Members</w:t>
      </w:r>
      <w:r w:rsidR="006E745B">
        <w:rPr>
          <w:rFonts w:cs="Times New Roman"/>
        </w:rPr>
        <w:t xml:space="preserve">, </w:t>
      </w:r>
      <w:r w:rsidRPr="00C20BCF">
        <w:rPr>
          <w:rFonts w:cs="Times New Roman"/>
        </w:rPr>
        <w:t xml:space="preserve">transition agencies and DMH.  They also </w:t>
      </w:r>
      <w:r w:rsidR="00247420">
        <w:rPr>
          <w:rFonts w:cs="Times New Roman"/>
        </w:rPr>
        <w:t>continue to conduct</w:t>
      </w:r>
      <w:r w:rsidRPr="00C20BCF">
        <w:rPr>
          <w:rFonts w:cs="Times New Roman"/>
        </w:rPr>
        <w:t xml:space="preserve"> the </w:t>
      </w:r>
      <w:r w:rsidR="00247420">
        <w:rPr>
          <w:rFonts w:cs="Times New Roman"/>
        </w:rPr>
        <w:t xml:space="preserve">initial </w:t>
      </w:r>
      <w:r w:rsidRPr="00C20BCF">
        <w:rPr>
          <w:rFonts w:cs="Times New Roman"/>
        </w:rPr>
        <w:t>Quality of Life Surveys</w:t>
      </w:r>
      <w:r w:rsidR="00247420">
        <w:rPr>
          <w:rFonts w:cs="Times New Roman"/>
        </w:rPr>
        <w:t>.</w:t>
      </w:r>
    </w:p>
    <w:p w:rsidR="00C20BCF" w:rsidRPr="00C20BCF" w:rsidRDefault="00C20BCF" w:rsidP="00F21DAB">
      <w:pPr>
        <w:spacing w:after="0"/>
        <w:rPr>
          <w:rFonts w:cs="Times New Roman"/>
        </w:rPr>
      </w:pPr>
    </w:p>
    <w:p w:rsidR="00C20BCF" w:rsidRPr="00C20BCF" w:rsidRDefault="006F33C7" w:rsidP="00F21DAB">
      <w:pPr>
        <w:spacing w:after="0"/>
        <w:rPr>
          <w:rFonts w:cs="Times New Roman"/>
        </w:rPr>
      </w:pPr>
      <w:r>
        <w:rPr>
          <w:rFonts w:cs="Times New Roman"/>
        </w:rPr>
        <w:t>T</w:t>
      </w:r>
      <w:r w:rsidR="00C20BCF" w:rsidRPr="00C20BCF">
        <w:rPr>
          <w:rFonts w:cs="Times New Roman"/>
        </w:rPr>
        <w:t xml:space="preserve">he </w:t>
      </w:r>
      <w:r>
        <w:rPr>
          <w:rFonts w:cs="Times New Roman"/>
        </w:rPr>
        <w:t xml:space="preserve">outreach </w:t>
      </w:r>
      <w:r w:rsidR="00C20BCF" w:rsidRPr="00C20BCF">
        <w:rPr>
          <w:rFonts w:cs="Times New Roman"/>
        </w:rPr>
        <w:t xml:space="preserve">team </w:t>
      </w:r>
      <w:r w:rsidR="00954971">
        <w:rPr>
          <w:rFonts w:cs="Times New Roman"/>
        </w:rPr>
        <w:t>worked in conjunction with the University of Illinois at Chicago (U</w:t>
      </w:r>
      <w:r w:rsidR="00C20BCF" w:rsidRPr="00C20BCF">
        <w:rPr>
          <w:rFonts w:cs="Times New Roman"/>
        </w:rPr>
        <w:t>IC</w:t>
      </w:r>
      <w:r w:rsidR="00954971">
        <w:rPr>
          <w:rFonts w:cs="Times New Roman"/>
        </w:rPr>
        <w:t>) to conduct a study designed t</w:t>
      </w:r>
      <w:r w:rsidR="00C20BCF" w:rsidRPr="00C20BCF">
        <w:rPr>
          <w:rFonts w:cs="Times New Roman"/>
        </w:rPr>
        <w:t xml:space="preserve">o find answers as to why </w:t>
      </w:r>
      <w:r w:rsidR="00944086">
        <w:rPr>
          <w:rFonts w:cs="Times New Roman"/>
        </w:rPr>
        <w:t>Class Members</w:t>
      </w:r>
      <w:r w:rsidR="00C20BCF" w:rsidRPr="00C20BCF">
        <w:rPr>
          <w:rFonts w:cs="Times New Roman"/>
        </w:rPr>
        <w:t xml:space="preserve"> </w:t>
      </w:r>
      <w:r w:rsidR="00954971">
        <w:rPr>
          <w:rFonts w:cs="Times New Roman"/>
        </w:rPr>
        <w:t xml:space="preserve">have </w:t>
      </w:r>
      <w:r w:rsidR="00C20BCF" w:rsidRPr="00C20BCF">
        <w:rPr>
          <w:rFonts w:cs="Times New Roman"/>
        </w:rPr>
        <w:t>declin</w:t>
      </w:r>
      <w:r w:rsidR="00954971">
        <w:rPr>
          <w:rFonts w:cs="Times New Roman"/>
        </w:rPr>
        <w:t>ed</w:t>
      </w:r>
      <w:r w:rsidR="00C20BCF" w:rsidRPr="00C20BCF">
        <w:rPr>
          <w:rFonts w:cs="Times New Roman"/>
        </w:rPr>
        <w:t xml:space="preserve"> to move out of the IMD </w:t>
      </w:r>
      <w:r w:rsidR="00954971">
        <w:rPr>
          <w:rFonts w:cs="Times New Roman"/>
        </w:rPr>
        <w:t xml:space="preserve">after having been </w:t>
      </w:r>
      <w:r w:rsidR="00C20BCF" w:rsidRPr="00C20BCF">
        <w:rPr>
          <w:rFonts w:cs="Times New Roman"/>
        </w:rPr>
        <w:t xml:space="preserve">approved for transition into the community. The </w:t>
      </w:r>
      <w:r w:rsidR="00954971">
        <w:rPr>
          <w:rFonts w:cs="Times New Roman"/>
        </w:rPr>
        <w:t>o</w:t>
      </w:r>
      <w:r w:rsidR="00C20BCF" w:rsidRPr="00C20BCF">
        <w:rPr>
          <w:rFonts w:cs="Times New Roman"/>
        </w:rPr>
        <w:t xml:space="preserve">utreach </w:t>
      </w:r>
      <w:r w:rsidR="00954971">
        <w:rPr>
          <w:rFonts w:cs="Times New Roman"/>
        </w:rPr>
        <w:t>t</w:t>
      </w:r>
      <w:r w:rsidR="00C20BCF" w:rsidRPr="00C20BCF">
        <w:rPr>
          <w:rFonts w:cs="Times New Roman"/>
        </w:rPr>
        <w:t xml:space="preserve">eam </w:t>
      </w:r>
      <w:r w:rsidR="00954971">
        <w:rPr>
          <w:rFonts w:cs="Times New Roman"/>
        </w:rPr>
        <w:t>assist</w:t>
      </w:r>
      <w:r w:rsidR="002D2271">
        <w:rPr>
          <w:rFonts w:cs="Times New Roman"/>
        </w:rPr>
        <w:t>ed</w:t>
      </w:r>
      <w:r w:rsidR="00954971">
        <w:rPr>
          <w:rFonts w:cs="Times New Roman"/>
        </w:rPr>
        <w:t xml:space="preserve"> </w:t>
      </w:r>
      <w:r w:rsidR="00C20BCF" w:rsidRPr="00C20BCF">
        <w:rPr>
          <w:rFonts w:cs="Times New Roman"/>
        </w:rPr>
        <w:t xml:space="preserve">UIC </w:t>
      </w:r>
      <w:r w:rsidR="002D2271">
        <w:rPr>
          <w:rFonts w:cs="Times New Roman"/>
        </w:rPr>
        <w:t xml:space="preserve">in </w:t>
      </w:r>
      <w:r w:rsidR="00C20BCF" w:rsidRPr="00C20BCF">
        <w:rPr>
          <w:rFonts w:cs="Times New Roman"/>
        </w:rPr>
        <w:t>locat</w:t>
      </w:r>
      <w:r w:rsidR="002D2271">
        <w:rPr>
          <w:rFonts w:cs="Times New Roman"/>
        </w:rPr>
        <w:t>ing</w:t>
      </w:r>
      <w:r w:rsidR="00C20BCF" w:rsidRPr="00C20BCF">
        <w:rPr>
          <w:rFonts w:cs="Times New Roman"/>
        </w:rPr>
        <w:t xml:space="preserve"> these </w:t>
      </w:r>
      <w:r w:rsidR="00944086">
        <w:rPr>
          <w:rFonts w:cs="Times New Roman"/>
        </w:rPr>
        <w:t>Class Members</w:t>
      </w:r>
      <w:r w:rsidR="00C20BCF" w:rsidRPr="00C20BCF">
        <w:rPr>
          <w:rFonts w:cs="Times New Roman"/>
        </w:rPr>
        <w:t xml:space="preserve"> and </w:t>
      </w:r>
      <w:r w:rsidR="00425328">
        <w:rPr>
          <w:rFonts w:cs="Times New Roman"/>
        </w:rPr>
        <w:t xml:space="preserve">in </w:t>
      </w:r>
      <w:r w:rsidR="00C20BCF" w:rsidRPr="00C20BCF">
        <w:rPr>
          <w:rFonts w:cs="Times New Roman"/>
        </w:rPr>
        <w:t>open</w:t>
      </w:r>
      <w:r w:rsidR="002D2271">
        <w:rPr>
          <w:rFonts w:cs="Times New Roman"/>
        </w:rPr>
        <w:t>ing</w:t>
      </w:r>
      <w:r w:rsidR="00C20BCF" w:rsidRPr="00C20BCF">
        <w:rPr>
          <w:rFonts w:cs="Times New Roman"/>
        </w:rPr>
        <w:t xml:space="preserve"> the dialogue between </w:t>
      </w:r>
      <w:r w:rsidR="002D2271">
        <w:rPr>
          <w:rFonts w:cs="Times New Roman"/>
        </w:rPr>
        <w:t xml:space="preserve">the Class Members </w:t>
      </w:r>
      <w:r w:rsidR="00C20BCF" w:rsidRPr="00C20BCF">
        <w:rPr>
          <w:rFonts w:cs="Times New Roman"/>
        </w:rPr>
        <w:t>and UIC</w:t>
      </w:r>
      <w:r w:rsidR="00A27DD2">
        <w:rPr>
          <w:rFonts w:cs="Times New Roman"/>
        </w:rPr>
        <w:t xml:space="preserve"> staff</w:t>
      </w:r>
      <w:r w:rsidR="00C20BCF" w:rsidRPr="00C20BCF">
        <w:rPr>
          <w:rFonts w:cs="Times New Roman"/>
        </w:rPr>
        <w:t>.</w:t>
      </w:r>
    </w:p>
    <w:p w:rsidR="00C20BCF" w:rsidRPr="00C20BCF" w:rsidRDefault="00C20BCF" w:rsidP="00F21DAB">
      <w:pPr>
        <w:spacing w:after="0"/>
        <w:rPr>
          <w:rFonts w:cs="Times New Roman"/>
        </w:rPr>
      </w:pPr>
    </w:p>
    <w:p w:rsidR="00C20BCF" w:rsidRPr="00C20BCF" w:rsidRDefault="00C20BCF" w:rsidP="00F21DAB">
      <w:pPr>
        <w:spacing w:after="0"/>
        <w:rPr>
          <w:rFonts w:cs="Times New Roman"/>
        </w:rPr>
      </w:pPr>
      <w:r w:rsidRPr="00C20BCF">
        <w:rPr>
          <w:rFonts w:cs="Times New Roman"/>
        </w:rPr>
        <w:t xml:space="preserve">DMH has </w:t>
      </w:r>
      <w:r w:rsidR="00054E61">
        <w:rPr>
          <w:rFonts w:cs="Times New Roman"/>
        </w:rPr>
        <w:t>undertaken</w:t>
      </w:r>
      <w:r w:rsidRPr="00C20BCF">
        <w:rPr>
          <w:rFonts w:cs="Times New Roman"/>
        </w:rPr>
        <w:t xml:space="preserve"> another initiative to try to spark interest </w:t>
      </w:r>
      <w:r w:rsidR="00054E61">
        <w:rPr>
          <w:rFonts w:cs="Times New Roman"/>
        </w:rPr>
        <w:t xml:space="preserve">in </w:t>
      </w:r>
      <w:r w:rsidR="00F80EE6">
        <w:rPr>
          <w:rFonts w:cs="Times New Roman"/>
        </w:rPr>
        <w:t>transitions</w:t>
      </w:r>
      <w:r w:rsidR="00054E61">
        <w:rPr>
          <w:rFonts w:cs="Times New Roman"/>
        </w:rPr>
        <w:t xml:space="preserve"> among </w:t>
      </w:r>
      <w:r w:rsidRPr="00C20BCF">
        <w:rPr>
          <w:rFonts w:cs="Times New Roman"/>
        </w:rPr>
        <w:t xml:space="preserve">Williams </w:t>
      </w:r>
      <w:r w:rsidR="00944086">
        <w:rPr>
          <w:rFonts w:cs="Times New Roman"/>
        </w:rPr>
        <w:t>Class Members</w:t>
      </w:r>
      <w:r w:rsidR="00054E61">
        <w:rPr>
          <w:rFonts w:cs="Times New Roman"/>
        </w:rPr>
        <w:t xml:space="preserve"> who have refused to </w:t>
      </w:r>
      <w:r w:rsidRPr="00C20BCF">
        <w:rPr>
          <w:rFonts w:cs="Times New Roman"/>
        </w:rPr>
        <w:t>talk with Outreach Workers or refu</w:t>
      </w:r>
      <w:r w:rsidR="00054E61">
        <w:rPr>
          <w:rFonts w:cs="Times New Roman"/>
        </w:rPr>
        <w:t>sed to have an assessment.  DMH</w:t>
      </w:r>
      <w:r w:rsidRPr="00C20BCF">
        <w:rPr>
          <w:rFonts w:cs="Times New Roman"/>
        </w:rPr>
        <w:t xml:space="preserve"> ha</w:t>
      </w:r>
      <w:r w:rsidR="00054E61">
        <w:rPr>
          <w:rFonts w:cs="Times New Roman"/>
        </w:rPr>
        <w:t>s</w:t>
      </w:r>
      <w:r w:rsidRPr="00C20BCF">
        <w:rPr>
          <w:rFonts w:cs="Times New Roman"/>
        </w:rPr>
        <w:t xml:space="preserve"> developed what </w:t>
      </w:r>
      <w:r w:rsidR="00054E61">
        <w:rPr>
          <w:rFonts w:cs="Times New Roman"/>
        </w:rPr>
        <w:t>are</w:t>
      </w:r>
      <w:r w:rsidRPr="00C20BCF">
        <w:rPr>
          <w:rFonts w:cs="Times New Roman"/>
        </w:rPr>
        <w:t xml:space="preserve"> </w:t>
      </w:r>
      <w:r w:rsidR="00054E61" w:rsidRPr="00C20BCF">
        <w:rPr>
          <w:rFonts w:cs="Times New Roman"/>
        </w:rPr>
        <w:t>call</w:t>
      </w:r>
      <w:r w:rsidR="00054E61">
        <w:rPr>
          <w:rFonts w:cs="Times New Roman"/>
        </w:rPr>
        <w:t>ed</w:t>
      </w:r>
      <w:r w:rsidR="00054E61" w:rsidRPr="00C20BCF">
        <w:rPr>
          <w:rFonts w:cs="Times New Roman"/>
        </w:rPr>
        <w:t xml:space="preserve"> ‘Engagement</w:t>
      </w:r>
      <w:r w:rsidRPr="00C20BCF">
        <w:rPr>
          <w:rFonts w:cs="Times New Roman"/>
        </w:rPr>
        <w:t xml:space="preserve"> Team</w:t>
      </w:r>
      <w:r w:rsidR="00054E61">
        <w:rPr>
          <w:rFonts w:cs="Times New Roman"/>
        </w:rPr>
        <w:t>s</w:t>
      </w:r>
      <w:r w:rsidRPr="00C20BCF">
        <w:rPr>
          <w:rFonts w:cs="Times New Roman"/>
        </w:rPr>
        <w:t xml:space="preserve">’.  </w:t>
      </w:r>
      <w:r w:rsidR="00DA1DEE">
        <w:rPr>
          <w:rFonts w:cs="Times New Roman"/>
        </w:rPr>
        <w:t>An</w:t>
      </w:r>
      <w:r w:rsidRPr="00C20BCF">
        <w:rPr>
          <w:rFonts w:cs="Times New Roman"/>
        </w:rPr>
        <w:t xml:space="preserve"> </w:t>
      </w:r>
      <w:r w:rsidR="00054E61">
        <w:rPr>
          <w:rFonts w:cs="Times New Roman"/>
        </w:rPr>
        <w:t>Engagement T</w:t>
      </w:r>
      <w:r w:rsidRPr="00C20BCF">
        <w:rPr>
          <w:rFonts w:cs="Times New Roman"/>
        </w:rPr>
        <w:t xml:space="preserve">eam </w:t>
      </w:r>
      <w:r w:rsidR="00054E61">
        <w:rPr>
          <w:rFonts w:cs="Times New Roman"/>
        </w:rPr>
        <w:t>is ma</w:t>
      </w:r>
      <w:r w:rsidR="00DA1DEE">
        <w:rPr>
          <w:rFonts w:cs="Times New Roman"/>
        </w:rPr>
        <w:t>d</w:t>
      </w:r>
      <w:r w:rsidR="00054E61">
        <w:rPr>
          <w:rFonts w:cs="Times New Roman"/>
        </w:rPr>
        <w:t xml:space="preserve">e up </w:t>
      </w:r>
      <w:r w:rsidRPr="00C20BCF">
        <w:rPr>
          <w:rFonts w:cs="Times New Roman"/>
        </w:rPr>
        <w:t>of Williams Ambassadors (</w:t>
      </w:r>
      <w:r w:rsidR="00944086">
        <w:rPr>
          <w:rFonts w:cs="Times New Roman"/>
        </w:rPr>
        <w:t>Class Members</w:t>
      </w:r>
      <w:r w:rsidRPr="00C20BCF">
        <w:rPr>
          <w:rFonts w:cs="Times New Roman"/>
        </w:rPr>
        <w:t xml:space="preserve"> who have moved out of the IMD), </w:t>
      </w:r>
      <w:r w:rsidR="00054E61">
        <w:rPr>
          <w:rFonts w:cs="Times New Roman"/>
        </w:rPr>
        <w:t>o</w:t>
      </w:r>
      <w:r w:rsidRPr="00C20BCF">
        <w:rPr>
          <w:rFonts w:cs="Times New Roman"/>
        </w:rPr>
        <w:t xml:space="preserve">utreach </w:t>
      </w:r>
      <w:r w:rsidR="00054E61">
        <w:rPr>
          <w:rFonts w:cs="Times New Roman"/>
        </w:rPr>
        <w:t>w</w:t>
      </w:r>
      <w:r w:rsidRPr="00C20BCF">
        <w:rPr>
          <w:rFonts w:cs="Times New Roman"/>
        </w:rPr>
        <w:t xml:space="preserve">orkers, and </w:t>
      </w:r>
      <w:r w:rsidR="00054E61">
        <w:rPr>
          <w:rFonts w:cs="Times New Roman"/>
        </w:rPr>
        <w:t xml:space="preserve">representatives from </w:t>
      </w:r>
      <w:r w:rsidRPr="00C20BCF">
        <w:rPr>
          <w:rFonts w:cs="Times New Roman"/>
        </w:rPr>
        <w:t xml:space="preserve">community mental health agencies.  The goal </w:t>
      </w:r>
      <w:r w:rsidR="00054E61">
        <w:rPr>
          <w:rFonts w:cs="Times New Roman"/>
        </w:rPr>
        <w:t xml:space="preserve">of the initiative </w:t>
      </w:r>
      <w:r w:rsidRPr="00C20BCF">
        <w:rPr>
          <w:rFonts w:cs="Times New Roman"/>
        </w:rPr>
        <w:t xml:space="preserve">is to allow </w:t>
      </w:r>
      <w:r w:rsidR="00944086">
        <w:rPr>
          <w:rFonts w:cs="Times New Roman"/>
        </w:rPr>
        <w:t>Class Members</w:t>
      </w:r>
      <w:r w:rsidR="00F80EE6">
        <w:rPr>
          <w:rFonts w:cs="Times New Roman"/>
        </w:rPr>
        <w:t xml:space="preserve"> who </w:t>
      </w:r>
      <w:r w:rsidR="00341422">
        <w:rPr>
          <w:rFonts w:cs="Times New Roman"/>
        </w:rPr>
        <w:t xml:space="preserve">are </w:t>
      </w:r>
      <w:r w:rsidR="00341422" w:rsidRPr="00C20BCF">
        <w:rPr>
          <w:rFonts w:cs="Times New Roman"/>
        </w:rPr>
        <w:t>still</w:t>
      </w:r>
      <w:r w:rsidRPr="00C20BCF">
        <w:rPr>
          <w:rFonts w:cs="Times New Roman"/>
        </w:rPr>
        <w:t xml:space="preserve"> living in the IMD the opportunity to speak one-on-one with Ambassadors.  </w:t>
      </w:r>
      <w:r w:rsidR="00DA1DEE">
        <w:rPr>
          <w:rFonts w:cs="Times New Roman"/>
        </w:rPr>
        <w:t>Class Members</w:t>
      </w:r>
      <w:r w:rsidRPr="00C20BCF">
        <w:rPr>
          <w:rFonts w:cs="Times New Roman"/>
        </w:rPr>
        <w:t xml:space="preserve"> can ask questions and share their concerns and the Ambassadors can talk about all of the supports and services </w:t>
      </w:r>
      <w:r w:rsidR="00054E61">
        <w:rPr>
          <w:rFonts w:cs="Times New Roman"/>
        </w:rPr>
        <w:t xml:space="preserve">that </w:t>
      </w:r>
      <w:r w:rsidRPr="00C20BCF">
        <w:rPr>
          <w:rFonts w:cs="Times New Roman"/>
        </w:rPr>
        <w:t xml:space="preserve">they </w:t>
      </w:r>
      <w:r w:rsidR="00054E61">
        <w:rPr>
          <w:rFonts w:cs="Times New Roman"/>
        </w:rPr>
        <w:t xml:space="preserve">themselves </w:t>
      </w:r>
      <w:r w:rsidRPr="00C20BCF">
        <w:rPr>
          <w:rFonts w:cs="Times New Roman"/>
        </w:rPr>
        <w:t xml:space="preserve">are receiving from the community agencies.  Outreach </w:t>
      </w:r>
      <w:r w:rsidR="00054E61">
        <w:rPr>
          <w:rFonts w:cs="Times New Roman"/>
        </w:rPr>
        <w:t>w</w:t>
      </w:r>
      <w:r w:rsidRPr="00C20BCF">
        <w:rPr>
          <w:rFonts w:cs="Times New Roman"/>
        </w:rPr>
        <w:t xml:space="preserve">orkers and community agencies will also be on hand to answer any questions and to connect </w:t>
      </w:r>
      <w:r w:rsidR="00DA1DEE">
        <w:rPr>
          <w:rFonts w:cs="Times New Roman"/>
        </w:rPr>
        <w:t>Class Members</w:t>
      </w:r>
      <w:r w:rsidRPr="00C20BCF">
        <w:rPr>
          <w:rFonts w:cs="Times New Roman"/>
        </w:rPr>
        <w:t xml:space="preserve"> with the </w:t>
      </w:r>
      <w:r w:rsidR="00F80EE6">
        <w:rPr>
          <w:rFonts w:cs="Times New Roman"/>
        </w:rPr>
        <w:t>Resident Reviewers</w:t>
      </w:r>
      <w:r w:rsidRPr="00C20BCF">
        <w:rPr>
          <w:rFonts w:cs="Times New Roman"/>
        </w:rPr>
        <w:t xml:space="preserve"> should they want an assessment.  T-shirts</w:t>
      </w:r>
      <w:r w:rsidR="00DA1DEE">
        <w:rPr>
          <w:rFonts w:cs="Times New Roman"/>
        </w:rPr>
        <w:t>, which are printed with “Moving On” on the front and “Ambassador” on the back</w:t>
      </w:r>
      <w:r w:rsidRPr="00C20BCF">
        <w:rPr>
          <w:rFonts w:cs="Times New Roman"/>
        </w:rPr>
        <w:t xml:space="preserve"> will be provided to the Ambassadors so they are </w:t>
      </w:r>
      <w:r w:rsidR="00054E61">
        <w:rPr>
          <w:rFonts w:cs="Times New Roman"/>
        </w:rPr>
        <w:t xml:space="preserve">identified </w:t>
      </w:r>
      <w:r w:rsidRPr="00C20BCF">
        <w:rPr>
          <w:rFonts w:cs="Times New Roman"/>
        </w:rPr>
        <w:t>easily</w:t>
      </w:r>
      <w:r w:rsidR="00054E61">
        <w:rPr>
          <w:rFonts w:cs="Times New Roman"/>
        </w:rPr>
        <w:t>.</w:t>
      </w:r>
      <w:r w:rsidRPr="00C20BCF">
        <w:rPr>
          <w:rFonts w:cs="Times New Roman"/>
        </w:rPr>
        <w:t xml:space="preserve"> NAMI is charged with scheduling visits, keeping Ambassador time sheets and paying Ambassadors.  </w:t>
      </w:r>
      <w:r w:rsidR="00054E61">
        <w:rPr>
          <w:rFonts w:cs="Times New Roman"/>
        </w:rPr>
        <w:t xml:space="preserve">The NAMI </w:t>
      </w:r>
      <w:r w:rsidRPr="00C20BCF">
        <w:rPr>
          <w:rFonts w:cs="Times New Roman"/>
        </w:rPr>
        <w:t>c</w:t>
      </w:r>
      <w:r w:rsidR="00054E61">
        <w:rPr>
          <w:rFonts w:cs="Times New Roman"/>
        </w:rPr>
        <w:t>ontract was amended to fund the</w:t>
      </w:r>
      <w:r w:rsidRPr="00C20BCF">
        <w:rPr>
          <w:rFonts w:cs="Times New Roman"/>
        </w:rPr>
        <w:t xml:space="preserve"> initiative.   </w:t>
      </w:r>
    </w:p>
    <w:p w:rsidR="00C20BCF" w:rsidRPr="00C20BCF" w:rsidRDefault="00C20BCF" w:rsidP="00F21DAB">
      <w:pPr>
        <w:spacing w:after="0"/>
        <w:rPr>
          <w:rFonts w:cs="Times New Roman"/>
        </w:rPr>
      </w:pPr>
    </w:p>
    <w:p w:rsidR="00C20BCF" w:rsidRPr="00C20BCF" w:rsidRDefault="00C20BCF" w:rsidP="00F21DAB">
      <w:pPr>
        <w:spacing w:after="0"/>
        <w:rPr>
          <w:rFonts w:cs="Times New Roman"/>
        </w:rPr>
      </w:pPr>
      <w:r w:rsidRPr="00C20BCF">
        <w:rPr>
          <w:rFonts w:cs="Times New Roman"/>
        </w:rPr>
        <w:t>On March 12</w:t>
      </w:r>
      <w:r w:rsidR="001A6D7F">
        <w:rPr>
          <w:rFonts w:cs="Times New Roman"/>
        </w:rPr>
        <w:t>, 2015</w:t>
      </w:r>
      <w:r w:rsidRPr="00C20BCF">
        <w:rPr>
          <w:rFonts w:cs="Times New Roman"/>
        </w:rPr>
        <w:t xml:space="preserve"> NAMI hosted a </w:t>
      </w:r>
      <w:r w:rsidR="001A6D7F">
        <w:rPr>
          <w:rFonts w:cs="Times New Roman"/>
        </w:rPr>
        <w:t>G</w:t>
      </w:r>
      <w:r w:rsidRPr="00C20BCF">
        <w:rPr>
          <w:rFonts w:cs="Times New Roman"/>
        </w:rPr>
        <w:t xml:space="preserve">uardians </w:t>
      </w:r>
      <w:r w:rsidR="001A6D7F">
        <w:rPr>
          <w:rFonts w:cs="Times New Roman"/>
        </w:rPr>
        <w:t>M</w:t>
      </w:r>
      <w:r w:rsidRPr="00C20BCF">
        <w:rPr>
          <w:rFonts w:cs="Times New Roman"/>
        </w:rPr>
        <w:t xml:space="preserve">eeting.  The goal </w:t>
      </w:r>
      <w:r w:rsidR="001A6D7F">
        <w:rPr>
          <w:rFonts w:cs="Times New Roman"/>
        </w:rPr>
        <w:t xml:space="preserve">of the meeting </w:t>
      </w:r>
      <w:r w:rsidRPr="00C20BCF">
        <w:rPr>
          <w:rFonts w:cs="Times New Roman"/>
        </w:rPr>
        <w:t xml:space="preserve">was to have a round table discussion </w:t>
      </w:r>
      <w:r w:rsidR="001A6D7F">
        <w:rPr>
          <w:rFonts w:cs="Times New Roman"/>
        </w:rPr>
        <w:t xml:space="preserve">on </w:t>
      </w:r>
      <w:r w:rsidR="00F80EE6" w:rsidRPr="00F80EE6">
        <w:rPr>
          <w:rFonts w:cs="Times New Roman"/>
          <w:i/>
        </w:rPr>
        <w:t>Moving On</w:t>
      </w:r>
      <w:r w:rsidR="001A6D7F" w:rsidRPr="00F80EE6">
        <w:rPr>
          <w:rFonts w:cs="Times New Roman"/>
          <w:i/>
        </w:rPr>
        <w:t xml:space="preserve"> </w:t>
      </w:r>
      <w:r w:rsidRPr="00C20BCF">
        <w:rPr>
          <w:rFonts w:cs="Times New Roman"/>
        </w:rPr>
        <w:t xml:space="preserve">with Ambassadors, </w:t>
      </w:r>
      <w:r w:rsidR="00F80EE6">
        <w:rPr>
          <w:rFonts w:cs="Times New Roman"/>
        </w:rPr>
        <w:t xml:space="preserve">the </w:t>
      </w:r>
      <w:r w:rsidR="00341422" w:rsidRPr="00C20BCF">
        <w:rPr>
          <w:rFonts w:cs="Times New Roman"/>
        </w:rPr>
        <w:t>guardians</w:t>
      </w:r>
      <w:r w:rsidRPr="00C20BCF">
        <w:rPr>
          <w:rFonts w:cs="Times New Roman"/>
        </w:rPr>
        <w:t xml:space="preserve">, DMH staff, Equip for Equality lawyers, </w:t>
      </w:r>
      <w:r w:rsidR="001A6D7F">
        <w:rPr>
          <w:rFonts w:cs="Times New Roman"/>
        </w:rPr>
        <w:t>o</w:t>
      </w:r>
      <w:r w:rsidRPr="00C20BCF">
        <w:rPr>
          <w:rFonts w:cs="Times New Roman"/>
        </w:rPr>
        <w:t xml:space="preserve">utreach </w:t>
      </w:r>
      <w:r w:rsidR="001A6D7F">
        <w:rPr>
          <w:rFonts w:cs="Times New Roman"/>
        </w:rPr>
        <w:t>w</w:t>
      </w:r>
      <w:r w:rsidRPr="00C20BCF">
        <w:rPr>
          <w:rFonts w:cs="Times New Roman"/>
        </w:rPr>
        <w:t xml:space="preserve">orkers, community agencies, and family members of persons in recovery.  Eight guardians </w:t>
      </w:r>
      <w:r w:rsidRPr="00C20BCF">
        <w:rPr>
          <w:rFonts w:cs="Times New Roman"/>
        </w:rPr>
        <w:lastRenderedPageBreak/>
        <w:t xml:space="preserve">confirmed their attendance </w:t>
      </w:r>
      <w:r w:rsidR="00F80EE6">
        <w:rPr>
          <w:rFonts w:cs="Times New Roman"/>
        </w:rPr>
        <w:t>but only</w:t>
      </w:r>
      <w:r w:rsidR="001A6D7F">
        <w:rPr>
          <w:rFonts w:cs="Times New Roman"/>
        </w:rPr>
        <w:t xml:space="preserve"> </w:t>
      </w:r>
      <w:r w:rsidRPr="00C20BCF">
        <w:rPr>
          <w:rFonts w:cs="Times New Roman"/>
        </w:rPr>
        <w:t xml:space="preserve">one </w:t>
      </w:r>
      <w:r w:rsidR="001A6D7F">
        <w:rPr>
          <w:rFonts w:cs="Times New Roman"/>
        </w:rPr>
        <w:t xml:space="preserve">guardian </w:t>
      </w:r>
      <w:r w:rsidR="004C57F5">
        <w:rPr>
          <w:rFonts w:cs="Times New Roman"/>
        </w:rPr>
        <w:t>arrived</w:t>
      </w:r>
      <w:r w:rsidRPr="00C20BCF">
        <w:rPr>
          <w:rFonts w:cs="Times New Roman"/>
        </w:rPr>
        <w:t xml:space="preserve">.  All other entities were present.  The conversation went well and was informative for the one guardian.  DMH </w:t>
      </w:r>
      <w:r w:rsidR="001A6D7F">
        <w:rPr>
          <w:rFonts w:cs="Times New Roman"/>
        </w:rPr>
        <w:t xml:space="preserve">has requested </w:t>
      </w:r>
      <w:r w:rsidRPr="00C20BCF">
        <w:rPr>
          <w:rFonts w:cs="Times New Roman"/>
        </w:rPr>
        <w:t xml:space="preserve">NAMI to host </w:t>
      </w:r>
      <w:r w:rsidR="002C1FDC">
        <w:rPr>
          <w:rFonts w:cs="Times New Roman"/>
        </w:rPr>
        <w:t>a second</w:t>
      </w:r>
      <w:r w:rsidRPr="00C20BCF">
        <w:rPr>
          <w:rFonts w:cs="Times New Roman"/>
        </w:rPr>
        <w:t xml:space="preserve"> </w:t>
      </w:r>
      <w:r w:rsidR="001A6D7F">
        <w:rPr>
          <w:rFonts w:cs="Times New Roman"/>
        </w:rPr>
        <w:t>Guardians</w:t>
      </w:r>
      <w:r w:rsidR="004C57F5">
        <w:rPr>
          <w:rFonts w:cs="Times New Roman"/>
        </w:rPr>
        <w:t>’</w:t>
      </w:r>
      <w:r w:rsidR="001A6D7F">
        <w:rPr>
          <w:rFonts w:cs="Times New Roman"/>
        </w:rPr>
        <w:t xml:space="preserve"> Meeting</w:t>
      </w:r>
      <w:r w:rsidRPr="00C20BCF">
        <w:rPr>
          <w:rFonts w:cs="Times New Roman"/>
        </w:rPr>
        <w:t xml:space="preserve"> in June or July.</w:t>
      </w:r>
    </w:p>
    <w:p w:rsidR="00C20BCF" w:rsidRPr="00C20BCF" w:rsidRDefault="00C20BCF" w:rsidP="00F21DAB">
      <w:pPr>
        <w:spacing w:after="0"/>
        <w:rPr>
          <w:rFonts w:cs="Times New Roman"/>
        </w:rPr>
      </w:pPr>
    </w:p>
    <w:p w:rsidR="00C20BCF" w:rsidRPr="00C20BCF" w:rsidRDefault="00C20BCF" w:rsidP="00F21DAB">
      <w:pPr>
        <w:spacing w:after="0"/>
        <w:rPr>
          <w:rFonts w:cs="Times New Roman"/>
        </w:rPr>
      </w:pPr>
      <w:r w:rsidRPr="00C20BCF">
        <w:rPr>
          <w:rFonts w:cs="Times New Roman"/>
        </w:rPr>
        <w:t xml:space="preserve">Lastly, the </w:t>
      </w:r>
      <w:r w:rsidR="00D7159B">
        <w:rPr>
          <w:rFonts w:cs="Times New Roman"/>
        </w:rPr>
        <w:t>o</w:t>
      </w:r>
      <w:r w:rsidRPr="00C20BCF">
        <w:rPr>
          <w:rFonts w:cs="Times New Roman"/>
        </w:rPr>
        <w:t xml:space="preserve">utreach </w:t>
      </w:r>
      <w:r w:rsidR="00D7159B">
        <w:rPr>
          <w:rFonts w:cs="Times New Roman"/>
        </w:rPr>
        <w:t>team</w:t>
      </w:r>
      <w:r w:rsidR="00C90DD2">
        <w:rPr>
          <w:rFonts w:cs="Times New Roman"/>
        </w:rPr>
        <w:t>’s</w:t>
      </w:r>
      <w:r w:rsidR="00D7159B">
        <w:rPr>
          <w:rFonts w:cs="Times New Roman"/>
        </w:rPr>
        <w:t xml:space="preserve"> schedule w</w:t>
      </w:r>
      <w:r w:rsidRPr="00C20BCF">
        <w:rPr>
          <w:rFonts w:cs="Times New Roman"/>
        </w:rPr>
        <w:t xml:space="preserve">as changed in order to </w:t>
      </w:r>
      <w:r w:rsidR="00D7159B">
        <w:rPr>
          <w:rFonts w:cs="Times New Roman"/>
        </w:rPr>
        <w:t xml:space="preserve">have </w:t>
      </w:r>
      <w:r w:rsidR="00C90DD2">
        <w:rPr>
          <w:rFonts w:cs="Times New Roman"/>
        </w:rPr>
        <w:t>better</w:t>
      </w:r>
      <w:r w:rsidR="00D7159B">
        <w:rPr>
          <w:rFonts w:cs="Times New Roman"/>
        </w:rPr>
        <w:t xml:space="preserve"> pr</w:t>
      </w:r>
      <w:r w:rsidRPr="00C20BCF">
        <w:rPr>
          <w:rFonts w:cs="Times New Roman"/>
        </w:rPr>
        <w:t>esen</w:t>
      </w:r>
      <w:r w:rsidR="00D7159B">
        <w:rPr>
          <w:rFonts w:cs="Times New Roman"/>
        </w:rPr>
        <w:t>ce</w:t>
      </w:r>
      <w:r w:rsidRPr="00C20BCF">
        <w:rPr>
          <w:rFonts w:cs="Times New Roman"/>
        </w:rPr>
        <w:t xml:space="preserve"> in each IMD every month.  The </w:t>
      </w:r>
      <w:r w:rsidR="00D7159B">
        <w:rPr>
          <w:rFonts w:cs="Times New Roman"/>
        </w:rPr>
        <w:t>o</w:t>
      </w:r>
      <w:r w:rsidRPr="00C20BCF">
        <w:rPr>
          <w:rFonts w:cs="Times New Roman"/>
        </w:rPr>
        <w:t xml:space="preserve">utreach </w:t>
      </w:r>
      <w:r w:rsidR="00D7159B">
        <w:rPr>
          <w:rFonts w:cs="Times New Roman"/>
        </w:rPr>
        <w:t>w</w:t>
      </w:r>
      <w:r w:rsidRPr="00C20BCF">
        <w:rPr>
          <w:rFonts w:cs="Times New Roman"/>
        </w:rPr>
        <w:t xml:space="preserve">orkers continue to provide </w:t>
      </w:r>
      <w:r w:rsidR="00944086">
        <w:rPr>
          <w:rFonts w:cs="Times New Roman"/>
        </w:rPr>
        <w:t>Class Members</w:t>
      </w:r>
      <w:r w:rsidRPr="00C20BCF">
        <w:rPr>
          <w:rFonts w:cs="Times New Roman"/>
        </w:rPr>
        <w:t xml:space="preserve"> with resources </w:t>
      </w:r>
      <w:r w:rsidR="00D7159B">
        <w:rPr>
          <w:rFonts w:cs="Times New Roman"/>
        </w:rPr>
        <w:t xml:space="preserve">that </w:t>
      </w:r>
      <w:r w:rsidR="00C90DD2">
        <w:rPr>
          <w:rFonts w:cs="Times New Roman"/>
        </w:rPr>
        <w:t xml:space="preserve">will </w:t>
      </w:r>
      <w:r w:rsidR="004167A5">
        <w:rPr>
          <w:rFonts w:cs="Times New Roman"/>
        </w:rPr>
        <w:t xml:space="preserve">be </w:t>
      </w:r>
      <w:r w:rsidR="004167A5" w:rsidRPr="00C20BCF">
        <w:rPr>
          <w:rFonts w:cs="Times New Roman"/>
        </w:rPr>
        <w:t>advantageous before</w:t>
      </w:r>
      <w:r w:rsidRPr="00C20BCF">
        <w:rPr>
          <w:rFonts w:cs="Times New Roman"/>
        </w:rPr>
        <w:t xml:space="preserve"> </w:t>
      </w:r>
      <w:r w:rsidR="00C90DD2">
        <w:rPr>
          <w:rFonts w:cs="Times New Roman"/>
        </w:rPr>
        <w:t>transitioning from</w:t>
      </w:r>
      <w:r w:rsidRPr="00C20BCF">
        <w:rPr>
          <w:rFonts w:cs="Times New Roman"/>
        </w:rPr>
        <w:t xml:space="preserve"> the IMD.  </w:t>
      </w:r>
      <w:r w:rsidR="00C90DD2">
        <w:rPr>
          <w:rFonts w:cs="Times New Roman"/>
        </w:rPr>
        <w:t>During</w:t>
      </w:r>
      <w:r w:rsidRPr="00C20BCF">
        <w:rPr>
          <w:rFonts w:cs="Times New Roman"/>
        </w:rPr>
        <w:t xml:space="preserve"> each IMD visit </w:t>
      </w:r>
      <w:r w:rsidR="007A4815">
        <w:rPr>
          <w:rFonts w:cs="Times New Roman"/>
        </w:rPr>
        <w:t>o</w:t>
      </w:r>
      <w:r w:rsidRPr="00C20BCF">
        <w:rPr>
          <w:rFonts w:cs="Times New Roman"/>
        </w:rPr>
        <w:t xml:space="preserve">utreach </w:t>
      </w:r>
      <w:r w:rsidR="007A4815">
        <w:rPr>
          <w:rFonts w:cs="Times New Roman"/>
        </w:rPr>
        <w:t>w</w:t>
      </w:r>
      <w:r w:rsidRPr="00C20BCF">
        <w:rPr>
          <w:rFonts w:cs="Times New Roman"/>
        </w:rPr>
        <w:t xml:space="preserve">orkers are equipped with brochures describing the location of all Drop-In Centers, explaining the purpose of the Centers and listing activities and events.  The purpose of </w:t>
      </w:r>
      <w:r w:rsidR="007A4815">
        <w:rPr>
          <w:rFonts w:cs="Times New Roman"/>
        </w:rPr>
        <w:t xml:space="preserve">providing this information </w:t>
      </w:r>
      <w:r w:rsidRPr="00C20BCF">
        <w:rPr>
          <w:rFonts w:cs="Times New Roman"/>
        </w:rPr>
        <w:t xml:space="preserve">is to </w:t>
      </w:r>
      <w:r w:rsidR="007A4815">
        <w:rPr>
          <w:rFonts w:cs="Times New Roman"/>
        </w:rPr>
        <w:t xml:space="preserve">encourage </w:t>
      </w:r>
      <w:r w:rsidR="00944086">
        <w:rPr>
          <w:rFonts w:cs="Times New Roman"/>
        </w:rPr>
        <w:t>Class Members</w:t>
      </w:r>
      <w:r w:rsidRPr="00C20BCF">
        <w:rPr>
          <w:rFonts w:cs="Times New Roman"/>
        </w:rPr>
        <w:t xml:space="preserve"> to </w:t>
      </w:r>
      <w:r w:rsidR="00C90DD2">
        <w:rPr>
          <w:rFonts w:cs="Times New Roman"/>
        </w:rPr>
        <w:t xml:space="preserve">participate with </w:t>
      </w:r>
      <w:r w:rsidRPr="00C20BCF">
        <w:rPr>
          <w:rFonts w:cs="Times New Roman"/>
        </w:rPr>
        <w:t xml:space="preserve"> Drop-In </w:t>
      </w:r>
      <w:r w:rsidR="00341422" w:rsidRPr="00C20BCF">
        <w:rPr>
          <w:rFonts w:cs="Times New Roman"/>
        </w:rPr>
        <w:t>Center</w:t>
      </w:r>
      <w:r w:rsidR="00341422">
        <w:rPr>
          <w:rFonts w:cs="Times New Roman"/>
        </w:rPr>
        <w:t xml:space="preserve"> activities</w:t>
      </w:r>
      <w:r w:rsidRPr="00C20BCF">
        <w:rPr>
          <w:rFonts w:cs="Times New Roman"/>
        </w:rPr>
        <w:t xml:space="preserve"> before they move out </w:t>
      </w:r>
      <w:r w:rsidR="007A4815">
        <w:rPr>
          <w:rFonts w:cs="Times New Roman"/>
        </w:rPr>
        <w:t xml:space="preserve">so that the can </w:t>
      </w:r>
      <w:r w:rsidR="00C90DD2">
        <w:rPr>
          <w:rFonts w:cs="Times New Roman"/>
        </w:rPr>
        <w:t>observe aspects of</w:t>
      </w:r>
      <w:r w:rsidRPr="00C20BCF">
        <w:rPr>
          <w:rFonts w:cs="Times New Roman"/>
        </w:rPr>
        <w:t xml:space="preserve"> community living</w:t>
      </w:r>
      <w:r w:rsidR="00C90DD2">
        <w:rPr>
          <w:rFonts w:cs="Times New Roman"/>
        </w:rPr>
        <w:t xml:space="preserve"> </w:t>
      </w:r>
      <w:r w:rsidR="00341422">
        <w:rPr>
          <w:rFonts w:cs="Times New Roman"/>
        </w:rPr>
        <w:t>and maximize</w:t>
      </w:r>
      <w:r w:rsidR="00C90DD2">
        <w:rPr>
          <w:rFonts w:cs="Times New Roman"/>
        </w:rPr>
        <w:t xml:space="preserve"> skills training prior to transition.</w:t>
      </w:r>
    </w:p>
    <w:p w:rsidR="00C20BCF" w:rsidRPr="00C20BCF" w:rsidRDefault="00C20BCF" w:rsidP="00F21DAB">
      <w:pPr>
        <w:spacing w:after="0"/>
        <w:rPr>
          <w:rFonts w:cs="Times New Roman"/>
        </w:rPr>
      </w:pPr>
    </w:p>
    <w:p w:rsidR="004167A5" w:rsidRDefault="00C20BCF" w:rsidP="004167A5">
      <w:pPr>
        <w:spacing w:after="0"/>
        <w:rPr>
          <w:color w:val="000000"/>
          <w:shd w:val="clear" w:color="auto" w:fill="FFFFFF"/>
        </w:rPr>
      </w:pPr>
      <w:r w:rsidRPr="00C20BCF">
        <w:rPr>
          <w:rFonts w:cs="Times New Roman"/>
        </w:rPr>
        <w:t xml:space="preserve">Outreach </w:t>
      </w:r>
      <w:r w:rsidR="005E691C">
        <w:rPr>
          <w:rFonts w:cs="Times New Roman"/>
        </w:rPr>
        <w:t>w</w:t>
      </w:r>
      <w:r w:rsidRPr="00C20BCF">
        <w:rPr>
          <w:rFonts w:cs="Times New Roman"/>
        </w:rPr>
        <w:t>orkers continue</w:t>
      </w:r>
      <w:r w:rsidR="005E691C">
        <w:rPr>
          <w:rFonts w:cs="Times New Roman"/>
        </w:rPr>
        <w:t>d</w:t>
      </w:r>
      <w:r w:rsidRPr="00C20BCF">
        <w:rPr>
          <w:rFonts w:cs="Times New Roman"/>
        </w:rPr>
        <w:t xml:space="preserve"> </w:t>
      </w:r>
      <w:r w:rsidR="001B69BC">
        <w:rPr>
          <w:rFonts w:cs="Times New Roman"/>
        </w:rPr>
        <w:t>to show</w:t>
      </w:r>
      <w:r w:rsidRPr="00C20BCF">
        <w:rPr>
          <w:rFonts w:cs="Times New Roman"/>
        </w:rPr>
        <w:t xml:space="preserve"> the </w:t>
      </w:r>
      <w:r w:rsidRPr="00C20BCF">
        <w:rPr>
          <w:rFonts w:cs="Times New Roman"/>
          <w:i/>
        </w:rPr>
        <w:t>Moving On</w:t>
      </w:r>
      <w:r w:rsidRPr="00C20BCF">
        <w:rPr>
          <w:rFonts w:cs="Times New Roman"/>
        </w:rPr>
        <w:t xml:space="preserve"> videos to any </w:t>
      </w:r>
      <w:r w:rsidR="00944086">
        <w:rPr>
          <w:rFonts w:cs="Times New Roman"/>
        </w:rPr>
        <w:t>Class Members</w:t>
      </w:r>
      <w:r w:rsidRPr="00C20BCF">
        <w:rPr>
          <w:rFonts w:cs="Times New Roman"/>
        </w:rPr>
        <w:t xml:space="preserve"> interested</w:t>
      </w:r>
      <w:r w:rsidR="005E691C">
        <w:rPr>
          <w:rFonts w:cs="Times New Roman"/>
        </w:rPr>
        <w:t xml:space="preserve"> in viewing them</w:t>
      </w:r>
      <w:r w:rsidRPr="00C20BCF">
        <w:rPr>
          <w:rFonts w:cs="Times New Roman"/>
        </w:rPr>
        <w:t>.  The</w:t>
      </w:r>
      <w:r w:rsidR="004167A5">
        <w:rPr>
          <w:rFonts w:cs="Times New Roman"/>
        </w:rPr>
        <w:t>y also</w:t>
      </w:r>
      <w:r w:rsidRPr="00C20BCF">
        <w:rPr>
          <w:rFonts w:cs="Times New Roman"/>
        </w:rPr>
        <w:t xml:space="preserve"> continue</w:t>
      </w:r>
      <w:r w:rsidR="007F3046">
        <w:rPr>
          <w:rFonts w:cs="Times New Roman"/>
        </w:rPr>
        <w:t>d</w:t>
      </w:r>
      <w:r w:rsidRPr="00C20BCF">
        <w:rPr>
          <w:rFonts w:cs="Times New Roman"/>
        </w:rPr>
        <w:t xml:space="preserve"> to work with the ‘Williams </w:t>
      </w:r>
      <w:r w:rsidRPr="00C20BCF">
        <w:rPr>
          <w:rFonts w:cs="Times New Roman"/>
          <w:i/>
        </w:rPr>
        <w:t>Moving On</w:t>
      </w:r>
      <w:r w:rsidRPr="00C20BCF">
        <w:rPr>
          <w:rFonts w:cs="Times New Roman"/>
        </w:rPr>
        <w:t xml:space="preserve"> Ambassadors’.  The Ambassadors speak at community meetings which are held at the IMDs and also at the Drop-In Centers.  </w:t>
      </w:r>
      <w:r w:rsidR="004167A5">
        <w:rPr>
          <w:rFonts w:cs="Times New Roman"/>
        </w:rPr>
        <w:t>A</w:t>
      </w:r>
      <w:r w:rsidRPr="00C20BCF">
        <w:rPr>
          <w:rFonts w:cs="Times New Roman"/>
        </w:rPr>
        <w:t xml:space="preserve">pproximately 1,105 </w:t>
      </w:r>
      <w:r w:rsidR="00944086">
        <w:rPr>
          <w:rFonts w:cs="Times New Roman"/>
        </w:rPr>
        <w:t>Class Members</w:t>
      </w:r>
      <w:r w:rsidRPr="00C20BCF">
        <w:rPr>
          <w:rFonts w:cs="Times New Roman"/>
        </w:rPr>
        <w:t xml:space="preserve"> and 73 Ambass</w:t>
      </w:r>
      <w:r w:rsidR="001B69BC">
        <w:rPr>
          <w:rFonts w:cs="Times New Roman"/>
        </w:rPr>
        <w:t xml:space="preserve">adors attended these meetings and </w:t>
      </w:r>
      <w:r w:rsidR="006B1FD2" w:rsidRPr="00C20BCF">
        <w:rPr>
          <w:rFonts w:cs="Times New Roman"/>
        </w:rPr>
        <w:t>approximately</w:t>
      </w:r>
      <w:r w:rsidRPr="00C20BCF">
        <w:rPr>
          <w:rFonts w:cs="Times New Roman"/>
        </w:rPr>
        <w:t xml:space="preserve"> 60 </w:t>
      </w:r>
      <w:r w:rsidR="00944086">
        <w:rPr>
          <w:rFonts w:cs="Times New Roman"/>
        </w:rPr>
        <w:t>Class Members</w:t>
      </w:r>
      <w:r w:rsidRPr="00C20BCF">
        <w:rPr>
          <w:rFonts w:cs="Times New Roman"/>
        </w:rPr>
        <w:t xml:space="preserve"> requested to be assessed at the end of those meetings.  Their names were passed on to the Associate Deputy Director of Transition.  </w:t>
      </w:r>
      <w:r w:rsidRPr="00C20BCF">
        <w:t xml:space="preserve">The </w:t>
      </w:r>
      <w:r w:rsidR="00C36EBE">
        <w:t>o</w:t>
      </w:r>
      <w:r w:rsidRPr="00C20BCF">
        <w:t xml:space="preserve">utreach </w:t>
      </w:r>
      <w:r w:rsidR="00C36EBE">
        <w:t>w</w:t>
      </w:r>
      <w:r w:rsidRPr="00C20BCF">
        <w:t>orkers continue</w:t>
      </w:r>
      <w:r w:rsidR="001B69BC">
        <w:t>d</w:t>
      </w:r>
      <w:r w:rsidRPr="00C20BCF">
        <w:t xml:space="preserve"> to conduct the ‘Recovery and Empowerment Statewide Call” with </w:t>
      </w:r>
      <w:r w:rsidR="00944086">
        <w:t>Class Members</w:t>
      </w:r>
      <w:r w:rsidRPr="00C20BCF">
        <w:t xml:space="preserve"> in the IMDs on the last Thursday of every month.  </w:t>
      </w:r>
      <w:r w:rsidRPr="00C20BCF">
        <w:rPr>
          <w:color w:val="000000"/>
          <w:shd w:val="clear" w:color="auto" w:fill="FFFFFF"/>
        </w:rPr>
        <w:t xml:space="preserve">These educational forums place an emphasis on sharing successful tools and strategies for wellness. </w:t>
      </w:r>
    </w:p>
    <w:p w:rsidR="00AA7DC6" w:rsidRDefault="00AA7DC6" w:rsidP="004167A5">
      <w:pPr>
        <w:spacing w:after="0"/>
        <w:rPr>
          <w:color w:val="000000"/>
          <w:shd w:val="clear" w:color="auto" w:fill="FFFFFF"/>
        </w:rPr>
      </w:pPr>
    </w:p>
    <w:p w:rsidR="00C20BCF" w:rsidRPr="00C20BCF" w:rsidRDefault="00C20BCF" w:rsidP="008F72C6">
      <w:pPr>
        <w:pStyle w:val="NormalWeb"/>
        <w:shd w:val="clear" w:color="auto" w:fill="FFFFFF"/>
        <w:spacing w:before="0" w:beforeAutospacing="0" w:after="0" w:afterAutospacing="0" w:line="276" w:lineRule="auto"/>
        <w:rPr>
          <w:rFonts w:asciiTheme="minorHAnsi" w:hAnsiTheme="minorHAnsi"/>
          <w:color w:val="000000"/>
          <w:sz w:val="22"/>
          <w:szCs w:val="22"/>
        </w:rPr>
      </w:pPr>
      <w:r w:rsidRPr="00C20BCF">
        <w:rPr>
          <w:rFonts w:asciiTheme="minorHAnsi" w:hAnsiTheme="minorHAnsi"/>
          <w:color w:val="000000"/>
          <w:sz w:val="22"/>
          <w:szCs w:val="22"/>
          <w:shd w:val="clear" w:color="auto" w:fill="FFFFFF"/>
        </w:rPr>
        <w:t xml:space="preserve"> </w:t>
      </w:r>
      <w:r w:rsidRPr="00C20BCF">
        <w:rPr>
          <w:rFonts w:asciiTheme="minorHAnsi" w:hAnsiTheme="minorHAnsi"/>
          <w:b/>
          <w:sz w:val="22"/>
          <w:szCs w:val="22"/>
          <w:u w:val="single"/>
        </w:rPr>
        <w:t>Quality of Life Surveys</w:t>
      </w:r>
    </w:p>
    <w:p w:rsidR="00C20BCF" w:rsidRDefault="00C20BCF" w:rsidP="008F72C6">
      <w:pPr>
        <w:spacing w:after="0"/>
        <w:rPr>
          <w:rFonts w:cs="Times New Roman"/>
        </w:rPr>
      </w:pPr>
      <w:r w:rsidRPr="00C20BCF">
        <w:rPr>
          <w:rFonts w:cs="Times New Roman"/>
        </w:rPr>
        <w:t xml:space="preserve">Outreach </w:t>
      </w:r>
      <w:r w:rsidR="00C90DD2">
        <w:rPr>
          <w:rFonts w:cs="Times New Roman"/>
        </w:rPr>
        <w:t>w</w:t>
      </w:r>
      <w:r w:rsidRPr="00C20BCF">
        <w:rPr>
          <w:rFonts w:cs="Times New Roman"/>
        </w:rPr>
        <w:t xml:space="preserve">orkers continue to conduct baseline Quality of Life Surveys (QLS) with </w:t>
      </w:r>
      <w:r w:rsidR="00944086">
        <w:rPr>
          <w:rFonts w:cs="Times New Roman"/>
        </w:rPr>
        <w:t>Class Members</w:t>
      </w:r>
      <w:r w:rsidRPr="00C20BCF">
        <w:rPr>
          <w:rFonts w:cs="Times New Roman"/>
        </w:rPr>
        <w:t xml:space="preserve"> who are nearing transition from the IMDs.  The Outreach Workers also report any incidences that are</w:t>
      </w:r>
      <w:r w:rsidR="005D24F3">
        <w:rPr>
          <w:rFonts w:cs="Times New Roman"/>
        </w:rPr>
        <w:t xml:space="preserve"> of concern that are</w:t>
      </w:r>
      <w:r w:rsidRPr="00C20BCF">
        <w:rPr>
          <w:rFonts w:cs="Times New Roman"/>
        </w:rPr>
        <w:t xml:space="preserve"> discussed while </w:t>
      </w:r>
      <w:r w:rsidR="005D24F3">
        <w:rPr>
          <w:rFonts w:cs="Times New Roman"/>
        </w:rPr>
        <w:t>conducting t</w:t>
      </w:r>
      <w:r w:rsidRPr="00C20BCF">
        <w:rPr>
          <w:rFonts w:cs="Times New Roman"/>
        </w:rPr>
        <w:t xml:space="preserve">he QLS.  </w:t>
      </w:r>
      <w:r w:rsidR="005D24F3" w:rsidRPr="004167A5">
        <w:rPr>
          <w:rFonts w:cs="Times New Roman"/>
        </w:rPr>
        <w:t>During this reporting period, outreach workers conducted 93 QLS.</w:t>
      </w:r>
      <w:r w:rsidR="005D24F3" w:rsidRPr="00C20BCF">
        <w:rPr>
          <w:rFonts w:cs="Times New Roman"/>
        </w:rPr>
        <w:t xml:space="preserve"> </w:t>
      </w:r>
      <w:r w:rsidR="00C90DD2">
        <w:rPr>
          <w:rFonts w:cs="Times New Roman"/>
        </w:rPr>
        <w:t xml:space="preserve"> </w:t>
      </w:r>
      <w:r w:rsidR="002177C1">
        <w:rPr>
          <w:rFonts w:cs="Times New Roman"/>
        </w:rPr>
        <w:t xml:space="preserve">In </w:t>
      </w:r>
      <w:r w:rsidR="00325F2F">
        <w:rPr>
          <w:rFonts w:cs="Times New Roman"/>
        </w:rPr>
        <w:t xml:space="preserve">those </w:t>
      </w:r>
      <w:r w:rsidR="000E58F3">
        <w:rPr>
          <w:rFonts w:cs="Times New Roman"/>
        </w:rPr>
        <w:t>instances</w:t>
      </w:r>
      <w:r w:rsidR="002177C1">
        <w:rPr>
          <w:rFonts w:cs="Times New Roman"/>
        </w:rPr>
        <w:t xml:space="preserve"> where the outreach worker</w:t>
      </w:r>
      <w:r w:rsidR="00325F2F">
        <w:rPr>
          <w:rFonts w:cs="Times New Roman"/>
        </w:rPr>
        <w:t>s</w:t>
      </w:r>
      <w:r w:rsidR="002177C1">
        <w:rPr>
          <w:rFonts w:cs="Times New Roman"/>
        </w:rPr>
        <w:t xml:space="preserve"> were unable to conduct the QLS prior to the Class Members’ transition, the Williams Quality </w:t>
      </w:r>
      <w:r w:rsidR="00341422">
        <w:rPr>
          <w:rFonts w:cs="Times New Roman"/>
        </w:rPr>
        <w:t>Monitors conducted</w:t>
      </w:r>
      <w:r w:rsidR="002177C1">
        <w:rPr>
          <w:rFonts w:cs="Times New Roman"/>
        </w:rPr>
        <w:t xml:space="preserve"> the baseline </w:t>
      </w:r>
      <w:r w:rsidR="00325F2F">
        <w:rPr>
          <w:rFonts w:cs="Times New Roman"/>
        </w:rPr>
        <w:t>QLS</w:t>
      </w:r>
      <w:r w:rsidR="002177C1">
        <w:rPr>
          <w:rFonts w:cs="Times New Roman"/>
        </w:rPr>
        <w:t xml:space="preserve"> </w:t>
      </w:r>
      <w:r w:rsidR="00325F2F">
        <w:rPr>
          <w:rFonts w:cs="Times New Roman"/>
        </w:rPr>
        <w:t>during the first home visit</w:t>
      </w:r>
      <w:r w:rsidR="002177C1">
        <w:rPr>
          <w:rFonts w:cs="Times New Roman"/>
        </w:rPr>
        <w:t>.</w:t>
      </w:r>
    </w:p>
    <w:p w:rsidR="008F72C6" w:rsidRPr="00C20BCF" w:rsidRDefault="008F72C6" w:rsidP="008F72C6">
      <w:pPr>
        <w:spacing w:after="0"/>
        <w:rPr>
          <w:rFonts w:cs="Times New Roman"/>
        </w:rPr>
      </w:pPr>
    </w:p>
    <w:p w:rsidR="00C20BCF" w:rsidRPr="00C20BCF" w:rsidRDefault="00C20BCF" w:rsidP="008F72C6">
      <w:pPr>
        <w:spacing w:after="0"/>
        <w:rPr>
          <w:rFonts w:cs="Times New Roman"/>
        </w:rPr>
      </w:pPr>
      <w:r w:rsidRPr="00C20BCF">
        <w:rPr>
          <w:rFonts w:cs="Times New Roman"/>
          <w:b/>
          <w:u w:val="single"/>
        </w:rPr>
        <w:t xml:space="preserve">Outreach Activities and Contacts </w:t>
      </w:r>
    </w:p>
    <w:p w:rsidR="00C20BCF" w:rsidRPr="00C20BCF" w:rsidRDefault="00C20BCF" w:rsidP="008F72C6">
      <w:pPr>
        <w:spacing w:after="0"/>
        <w:rPr>
          <w:rFonts w:cs="Times New Roman"/>
        </w:rPr>
      </w:pPr>
      <w:r w:rsidRPr="00C20BCF">
        <w:rPr>
          <w:rFonts w:cs="Times New Roman"/>
        </w:rPr>
        <w:t xml:space="preserve">In the past four months, 416 </w:t>
      </w:r>
      <w:r w:rsidR="00944086">
        <w:rPr>
          <w:rFonts w:cs="Times New Roman"/>
        </w:rPr>
        <w:t>Class Members</w:t>
      </w:r>
      <w:r w:rsidRPr="00C20BCF">
        <w:rPr>
          <w:rFonts w:cs="Times New Roman"/>
        </w:rPr>
        <w:t xml:space="preserve"> signed Introductory Letters and engaged with the </w:t>
      </w:r>
      <w:r w:rsidR="00BA7D3E">
        <w:rPr>
          <w:rFonts w:cs="Times New Roman"/>
        </w:rPr>
        <w:t>o</w:t>
      </w:r>
      <w:r w:rsidRPr="00C20BCF">
        <w:rPr>
          <w:rFonts w:cs="Times New Roman"/>
        </w:rPr>
        <w:t xml:space="preserve">utreach </w:t>
      </w:r>
      <w:r w:rsidR="00BA7D3E">
        <w:rPr>
          <w:rFonts w:cs="Times New Roman"/>
        </w:rPr>
        <w:t>w</w:t>
      </w:r>
      <w:r w:rsidRPr="00C20BCF">
        <w:rPr>
          <w:rFonts w:cs="Times New Roman"/>
        </w:rPr>
        <w:t xml:space="preserve">orkers in learning about their rights under the Williams Consent Decree and </w:t>
      </w:r>
      <w:r w:rsidRPr="00C20BCF">
        <w:rPr>
          <w:rFonts w:cs="Times New Roman"/>
          <w:i/>
        </w:rPr>
        <w:t>Moving On</w:t>
      </w:r>
      <w:r w:rsidRPr="00C20BCF">
        <w:rPr>
          <w:rFonts w:cs="Times New Roman"/>
        </w:rPr>
        <w:t xml:space="preserve">.  Outreach </w:t>
      </w:r>
      <w:r w:rsidR="00BA7D3E">
        <w:rPr>
          <w:rFonts w:cs="Times New Roman"/>
        </w:rPr>
        <w:t>w</w:t>
      </w:r>
      <w:r w:rsidRPr="00C20BCF">
        <w:rPr>
          <w:rFonts w:cs="Times New Roman"/>
        </w:rPr>
        <w:t xml:space="preserve">orkers conducted 364 private interviews with </w:t>
      </w:r>
      <w:r w:rsidR="00944086">
        <w:rPr>
          <w:rFonts w:cs="Times New Roman"/>
        </w:rPr>
        <w:t>Class Members</w:t>
      </w:r>
      <w:r w:rsidRPr="00C20BCF">
        <w:rPr>
          <w:rFonts w:cs="Times New Roman"/>
        </w:rPr>
        <w:t xml:space="preserve">.  2,815 </w:t>
      </w:r>
      <w:r w:rsidR="00944086">
        <w:rPr>
          <w:rFonts w:cs="Times New Roman"/>
        </w:rPr>
        <w:t>Class Members</w:t>
      </w:r>
      <w:r w:rsidRPr="00C20BCF">
        <w:rPr>
          <w:rFonts w:cs="Times New Roman"/>
        </w:rPr>
        <w:t xml:space="preserve"> approached the </w:t>
      </w:r>
      <w:r w:rsidR="00BA7D3E">
        <w:rPr>
          <w:rFonts w:cs="Times New Roman"/>
        </w:rPr>
        <w:t>o</w:t>
      </w:r>
      <w:r w:rsidRPr="00C20BCF">
        <w:rPr>
          <w:rFonts w:cs="Times New Roman"/>
        </w:rPr>
        <w:t xml:space="preserve">utreach </w:t>
      </w:r>
      <w:r w:rsidR="00BA7D3E">
        <w:rPr>
          <w:rFonts w:cs="Times New Roman"/>
        </w:rPr>
        <w:t>w</w:t>
      </w:r>
      <w:r w:rsidRPr="00C20BCF">
        <w:rPr>
          <w:rFonts w:cs="Times New Roman"/>
        </w:rPr>
        <w:t>orkers for a 2</w:t>
      </w:r>
      <w:r w:rsidRPr="00C20BCF">
        <w:rPr>
          <w:rFonts w:cs="Times New Roman"/>
          <w:vertAlign w:val="superscript"/>
        </w:rPr>
        <w:t>nd</w:t>
      </w:r>
      <w:r w:rsidRPr="00C20BCF">
        <w:rPr>
          <w:rFonts w:cs="Times New Roman"/>
        </w:rPr>
        <w:t>, 3</w:t>
      </w:r>
      <w:r w:rsidRPr="00C20BCF">
        <w:rPr>
          <w:rFonts w:cs="Times New Roman"/>
          <w:vertAlign w:val="superscript"/>
        </w:rPr>
        <w:t>rd</w:t>
      </w:r>
      <w:r w:rsidRPr="00C20BCF">
        <w:rPr>
          <w:rFonts w:cs="Times New Roman"/>
        </w:rPr>
        <w:t>, 4</w:t>
      </w:r>
      <w:r w:rsidRPr="00C20BCF">
        <w:rPr>
          <w:rFonts w:cs="Times New Roman"/>
          <w:vertAlign w:val="superscript"/>
        </w:rPr>
        <w:t>th</w:t>
      </w:r>
      <w:r w:rsidRPr="00C20BCF">
        <w:rPr>
          <w:rFonts w:cs="Times New Roman"/>
        </w:rPr>
        <w:t xml:space="preserve">, etc. time with questions or concerns.  Approximately 115 new </w:t>
      </w:r>
      <w:r w:rsidR="00944086">
        <w:rPr>
          <w:rFonts w:cs="Times New Roman"/>
        </w:rPr>
        <w:t>Class Members</w:t>
      </w:r>
      <w:r w:rsidRPr="00C20BCF">
        <w:rPr>
          <w:rFonts w:cs="Times New Roman"/>
        </w:rPr>
        <w:t xml:space="preserve"> refused to engage with </w:t>
      </w:r>
      <w:r w:rsidR="00BA7D3E">
        <w:rPr>
          <w:rFonts w:cs="Times New Roman"/>
        </w:rPr>
        <w:t>o</w:t>
      </w:r>
      <w:r w:rsidRPr="00C20BCF">
        <w:rPr>
          <w:rFonts w:cs="Times New Roman"/>
        </w:rPr>
        <w:t xml:space="preserve">utreach </w:t>
      </w:r>
      <w:r w:rsidR="00BA7D3E">
        <w:rPr>
          <w:rFonts w:cs="Times New Roman"/>
        </w:rPr>
        <w:t>w</w:t>
      </w:r>
      <w:r w:rsidRPr="00C20BCF">
        <w:rPr>
          <w:rFonts w:cs="Times New Roman"/>
        </w:rPr>
        <w:t xml:space="preserve">orkers when approached during this time period.  Approximately 450 </w:t>
      </w:r>
      <w:r w:rsidR="00944086">
        <w:rPr>
          <w:rFonts w:cs="Times New Roman"/>
        </w:rPr>
        <w:t>Class Members</w:t>
      </w:r>
      <w:r w:rsidRPr="00C20BCF">
        <w:rPr>
          <w:rFonts w:cs="Times New Roman"/>
        </w:rPr>
        <w:t xml:space="preserve"> (</w:t>
      </w:r>
      <w:r w:rsidR="00944086">
        <w:rPr>
          <w:rFonts w:cs="Times New Roman"/>
        </w:rPr>
        <w:t>Class Members</w:t>
      </w:r>
      <w:r w:rsidRPr="00C20BCF">
        <w:rPr>
          <w:rFonts w:cs="Times New Roman"/>
        </w:rPr>
        <w:t xml:space="preserve"> new to IMD and </w:t>
      </w:r>
      <w:r w:rsidR="00DA1DEE">
        <w:rPr>
          <w:rFonts w:cs="Times New Roman"/>
        </w:rPr>
        <w:t>existing</w:t>
      </w:r>
      <w:r w:rsidR="00DA1DEE" w:rsidRPr="00C20BCF">
        <w:rPr>
          <w:rFonts w:cs="Times New Roman"/>
        </w:rPr>
        <w:t xml:space="preserve"> </w:t>
      </w:r>
      <w:r w:rsidR="00944086">
        <w:rPr>
          <w:rFonts w:cs="Times New Roman"/>
        </w:rPr>
        <w:t>Class Members</w:t>
      </w:r>
      <w:r w:rsidRPr="00C20BCF">
        <w:rPr>
          <w:rFonts w:cs="Times New Roman"/>
        </w:rPr>
        <w:t xml:space="preserve"> approached every 3 months) told </w:t>
      </w:r>
      <w:r w:rsidR="00BA7D3E">
        <w:rPr>
          <w:rFonts w:cs="Times New Roman"/>
        </w:rPr>
        <w:t>o</w:t>
      </w:r>
      <w:r w:rsidRPr="00C20BCF">
        <w:rPr>
          <w:rFonts w:cs="Times New Roman"/>
        </w:rPr>
        <w:t xml:space="preserve">utreach </w:t>
      </w:r>
      <w:r w:rsidR="00BA7D3E">
        <w:rPr>
          <w:rFonts w:cs="Times New Roman"/>
        </w:rPr>
        <w:t>w</w:t>
      </w:r>
      <w:r w:rsidRPr="00C20BCF">
        <w:rPr>
          <w:rFonts w:cs="Times New Roman"/>
        </w:rPr>
        <w:t>orkers that they are not interested in being assessed.  The names of</w:t>
      </w:r>
      <w:r w:rsidR="00BA7D3E">
        <w:rPr>
          <w:rFonts w:cs="Times New Roman"/>
        </w:rPr>
        <w:t xml:space="preserve"> those</w:t>
      </w:r>
      <w:r w:rsidRPr="00C20BCF">
        <w:rPr>
          <w:rFonts w:cs="Times New Roman"/>
        </w:rPr>
        <w:t xml:space="preserve"> </w:t>
      </w:r>
      <w:r w:rsidR="00944086">
        <w:rPr>
          <w:rFonts w:cs="Times New Roman"/>
        </w:rPr>
        <w:t>Class Members</w:t>
      </w:r>
      <w:r w:rsidRPr="00C20BCF">
        <w:rPr>
          <w:rFonts w:cs="Times New Roman"/>
        </w:rPr>
        <w:t>, reasons</w:t>
      </w:r>
      <w:r w:rsidR="00C90DD2">
        <w:rPr>
          <w:rFonts w:cs="Times New Roman"/>
        </w:rPr>
        <w:t xml:space="preserve"> provided </w:t>
      </w:r>
      <w:r w:rsidR="00341422">
        <w:rPr>
          <w:rFonts w:cs="Times New Roman"/>
        </w:rPr>
        <w:t xml:space="preserve">why </w:t>
      </w:r>
      <w:r w:rsidR="00341422" w:rsidRPr="00C20BCF">
        <w:rPr>
          <w:rFonts w:cs="Times New Roman"/>
        </w:rPr>
        <w:t>they</w:t>
      </w:r>
      <w:r w:rsidRPr="00C20BCF">
        <w:rPr>
          <w:rFonts w:cs="Times New Roman"/>
        </w:rPr>
        <w:t xml:space="preserve"> do</w:t>
      </w:r>
      <w:r w:rsidR="00BA7D3E">
        <w:rPr>
          <w:rFonts w:cs="Times New Roman"/>
        </w:rPr>
        <w:t xml:space="preserve"> not</w:t>
      </w:r>
      <w:r w:rsidRPr="00C20BCF">
        <w:rPr>
          <w:rFonts w:cs="Times New Roman"/>
        </w:rPr>
        <w:t xml:space="preserve"> want to move</w:t>
      </w:r>
      <w:r w:rsidR="00C90DD2">
        <w:rPr>
          <w:rFonts w:cs="Times New Roman"/>
        </w:rPr>
        <w:t>,</w:t>
      </w:r>
      <w:r w:rsidRPr="00C20BCF">
        <w:rPr>
          <w:rFonts w:cs="Times New Roman"/>
        </w:rPr>
        <w:t xml:space="preserve"> and </w:t>
      </w:r>
      <w:r w:rsidR="00C90DD2">
        <w:rPr>
          <w:rFonts w:cs="Times New Roman"/>
        </w:rPr>
        <w:t>the</w:t>
      </w:r>
      <w:r w:rsidRPr="00C20BCF">
        <w:rPr>
          <w:rFonts w:cs="Times New Roman"/>
        </w:rPr>
        <w:t xml:space="preserve"> IMD</w:t>
      </w:r>
      <w:r w:rsidR="00986C5D">
        <w:rPr>
          <w:rFonts w:cs="Times New Roman"/>
        </w:rPr>
        <w:t xml:space="preserve">s where </w:t>
      </w:r>
      <w:r w:rsidRPr="00C20BCF">
        <w:rPr>
          <w:rFonts w:cs="Times New Roman"/>
        </w:rPr>
        <w:t>they reside in are sent to the Associate Deputy Director of Transition on the 15</w:t>
      </w:r>
      <w:r w:rsidRPr="00C20BCF">
        <w:rPr>
          <w:rFonts w:cs="Times New Roman"/>
          <w:vertAlign w:val="superscript"/>
        </w:rPr>
        <w:t>th</w:t>
      </w:r>
      <w:r w:rsidRPr="00C20BCF">
        <w:rPr>
          <w:rFonts w:cs="Times New Roman"/>
        </w:rPr>
        <w:t xml:space="preserve"> of every month in </w:t>
      </w:r>
      <w:r w:rsidR="00BA7D3E">
        <w:rPr>
          <w:rFonts w:cs="Times New Roman"/>
        </w:rPr>
        <w:t xml:space="preserve">the </w:t>
      </w:r>
      <w:r w:rsidRPr="00C20BCF">
        <w:rPr>
          <w:rFonts w:cs="Times New Roman"/>
        </w:rPr>
        <w:t>Refusal Report.  Lastly, the Outreach Workers had contact with 55 guardians via phone or in person.</w:t>
      </w:r>
    </w:p>
    <w:p w:rsidR="00C20BCF" w:rsidRPr="00C20BCF" w:rsidRDefault="00C20BCF" w:rsidP="008F72C6">
      <w:pPr>
        <w:spacing w:after="0"/>
        <w:rPr>
          <w:rFonts w:cs="Times New Roman"/>
          <w:b/>
          <w:u w:val="single"/>
        </w:rPr>
      </w:pPr>
    </w:p>
    <w:p w:rsidR="00C20BCF" w:rsidRPr="00C20BCF" w:rsidRDefault="00C20BCF" w:rsidP="008F72C6">
      <w:pPr>
        <w:spacing w:after="0"/>
        <w:rPr>
          <w:rFonts w:cs="Times New Roman"/>
          <w:b/>
          <w:u w:val="single"/>
        </w:rPr>
      </w:pPr>
      <w:r w:rsidRPr="00C20BCF">
        <w:rPr>
          <w:rFonts w:cs="Times New Roman"/>
          <w:b/>
          <w:u w:val="single"/>
        </w:rPr>
        <w:lastRenderedPageBreak/>
        <w:t xml:space="preserve">Data on </w:t>
      </w:r>
      <w:r w:rsidR="00944086">
        <w:rPr>
          <w:rFonts w:cs="Times New Roman"/>
          <w:b/>
          <w:u w:val="single"/>
        </w:rPr>
        <w:t>Class Members</w:t>
      </w:r>
      <w:r w:rsidRPr="00C20BCF">
        <w:rPr>
          <w:rFonts w:cs="Times New Roman"/>
          <w:b/>
          <w:u w:val="single"/>
        </w:rPr>
        <w:t xml:space="preserve"> who refuse to engage with Outreach Workers </w:t>
      </w:r>
    </w:p>
    <w:p w:rsidR="00C11AC2" w:rsidRDefault="00C20BCF" w:rsidP="00C330B7">
      <w:pPr>
        <w:spacing w:after="0"/>
        <w:rPr>
          <w:rFonts w:cs="Times New Roman"/>
        </w:rPr>
      </w:pPr>
      <w:r w:rsidRPr="00C20BCF">
        <w:rPr>
          <w:rFonts w:cs="Times New Roman"/>
        </w:rPr>
        <w:t xml:space="preserve">As noted above, NAMI Chicago </w:t>
      </w:r>
      <w:r w:rsidR="0077488F">
        <w:rPr>
          <w:rFonts w:cs="Times New Roman"/>
        </w:rPr>
        <w:t>o</w:t>
      </w:r>
      <w:r w:rsidRPr="00C20BCF">
        <w:rPr>
          <w:rFonts w:cs="Times New Roman"/>
        </w:rPr>
        <w:t xml:space="preserve">utreach </w:t>
      </w:r>
      <w:r w:rsidR="0077488F">
        <w:rPr>
          <w:rFonts w:cs="Times New Roman"/>
        </w:rPr>
        <w:t>w</w:t>
      </w:r>
      <w:r w:rsidRPr="00C20BCF">
        <w:rPr>
          <w:rFonts w:cs="Times New Roman"/>
        </w:rPr>
        <w:t xml:space="preserve">orkers continue to ‘in-reach’ to </w:t>
      </w:r>
      <w:r w:rsidR="00944086">
        <w:rPr>
          <w:rFonts w:cs="Times New Roman"/>
        </w:rPr>
        <w:t>Class Members</w:t>
      </w:r>
      <w:r w:rsidRPr="00C20BCF">
        <w:rPr>
          <w:rFonts w:cs="Times New Roman"/>
        </w:rPr>
        <w:t xml:space="preserve"> who have </w:t>
      </w:r>
      <w:r w:rsidR="00341422">
        <w:rPr>
          <w:rFonts w:cs="Times New Roman"/>
        </w:rPr>
        <w:t>ambivalence</w:t>
      </w:r>
      <w:r w:rsidRPr="00C20BCF">
        <w:rPr>
          <w:rFonts w:cs="Times New Roman"/>
        </w:rPr>
        <w:t xml:space="preserve"> about making a personal decision to consider </w:t>
      </w:r>
      <w:r w:rsidRPr="00C20BCF">
        <w:rPr>
          <w:rFonts w:cs="Times New Roman"/>
          <w:i/>
        </w:rPr>
        <w:t>Moving On</w:t>
      </w:r>
      <w:r w:rsidRPr="00C20BCF">
        <w:rPr>
          <w:rFonts w:cs="Times New Roman"/>
        </w:rPr>
        <w:t xml:space="preserve"> or who have adamantly refused to engage in further discussions about the possibilities of transitioning.  The following data</w:t>
      </w:r>
      <w:r w:rsidR="0077488F">
        <w:rPr>
          <w:rFonts w:cs="Times New Roman"/>
        </w:rPr>
        <w:t xml:space="preserve"> is an aggregate of</w:t>
      </w:r>
      <w:r w:rsidRPr="00C20BCF">
        <w:rPr>
          <w:rFonts w:cs="Times New Roman"/>
        </w:rPr>
        <w:t xml:space="preserve"> reasons identified for refusing discussions. </w:t>
      </w:r>
    </w:p>
    <w:p w:rsidR="00C330B7" w:rsidRPr="00C20BCF" w:rsidRDefault="00C330B7" w:rsidP="00C330B7">
      <w:pPr>
        <w:spacing w:after="0"/>
        <w:rPr>
          <w:rFonts w:cs="Times New Roman"/>
        </w:rPr>
      </w:pPr>
    </w:p>
    <w:p w:rsidR="009C1011" w:rsidRPr="00D80F00" w:rsidRDefault="00DF444F" w:rsidP="00C330B7">
      <w:pPr>
        <w:pStyle w:val="ListParagraph"/>
        <w:spacing w:after="0"/>
        <w:ind w:left="0"/>
        <w:rPr>
          <w:b/>
        </w:rPr>
      </w:pPr>
      <w:r w:rsidRPr="00D80F00">
        <w:rPr>
          <w:b/>
        </w:rPr>
        <w:t>Refusal Report</w:t>
      </w:r>
      <w:r w:rsidR="0025711F" w:rsidRPr="00D80F00">
        <w:rPr>
          <w:b/>
        </w:rPr>
        <w:t xml:space="preserve"> Totals </w:t>
      </w:r>
      <w:r w:rsidR="009C1011" w:rsidRPr="00D80F00">
        <w:rPr>
          <w:b/>
        </w:rPr>
        <w:t xml:space="preserve">as of </w:t>
      </w:r>
      <w:r w:rsidR="003E3ECE" w:rsidRPr="00D80F00">
        <w:rPr>
          <w:b/>
        </w:rPr>
        <w:t>May 6, 2015</w:t>
      </w:r>
    </w:p>
    <w:p w:rsidR="009C1011" w:rsidRPr="00D80F00" w:rsidRDefault="009C1011" w:rsidP="00C330B7">
      <w:pPr>
        <w:pStyle w:val="ListParagraph"/>
        <w:spacing w:after="0"/>
        <w:ind w:left="0"/>
      </w:pPr>
      <w:r w:rsidRPr="00D80F00">
        <w:t xml:space="preserve">Total Number of </w:t>
      </w:r>
      <w:r w:rsidR="00944086">
        <w:t>Class Members</w:t>
      </w:r>
      <w:r w:rsidRPr="00D80F00">
        <w:t xml:space="preserve"> </w:t>
      </w:r>
      <w:r w:rsidR="006E1FFB" w:rsidRPr="00D80F00">
        <w:t>–</w:t>
      </w:r>
      <w:r w:rsidRPr="00D80F00">
        <w:t xml:space="preserve"> </w:t>
      </w:r>
      <w:r w:rsidR="0034517B" w:rsidRPr="00D80F00">
        <w:t>1964</w:t>
      </w:r>
      <w:r w:rsidR="006E1FFB" w:rsidRPr="00D80F00">
        <w:t xml:space="preserve"> (some gave more than one answer)</w:t>
      </w:r>
    </w:p>
    <w:p w:rsidR="006E1FFB" w:rsidRPr="00D80F00" w:rsidRDefault="006E1FFB" w:rsidP="00570FCA">
      <w:pPr>
        <w:pStyle w:val="ListParagraph"/>
      </w:pPr>
    </w:p>
    <w:tbl>
      <w:tblPr>
        <w:tblStyle w:val="TableGrid"/>
        <w:tblW w:w="0" w:type="auto"/>
        <w:tblInd w:w="198" w:type="dxa"/>
        <w:tblLook w:val="04A0" w:firstRow="1" w:lastRow="0" w:firstColumn="1" w:lastColumn="0" w:noHBand="0" w:noVBand="1"/>
      </w:tblPr>
      <w:tblGrid>
        <w:gridCol w:w="4140"/>
        <w:gridCol w:w="2340"/>
        <w:gridCol w:w="1980"/>
      </w:tblGrid>
      <w:tr w:rsidR="009C1011" w:rsidRPr="00D80F00" w:rsidTr="005C7450">
        <w:tc>
          <w:tcPr>
            <w:tcW w:w="4140" w:type="dxa"/>
            <w:shd w:val="clear" w:color="auto" w:fill="D9D9D9" w:themeFill="background1" w:themeFillShade="D9"/>
          </w:tcPr>
          <w:p w:rsidR="009C1011" w:rsidRPr="00D80F00" w:rsidRDefault="009C1011" w:rsidP="009C1011">
            <w:pPr>
              <w:pStyle w:val="ListParagraph"/>
              <w:ind w:left="0"/>
              <w:jc w:val="center"/>
            </w:pPr>
            <w:r w:rsidRPr="00D80F00">
              <w:t>Reason</w:t>
            </w:r>
          </w:p>
        </w:tc>
        <w:tc>
          <w:tcPr>
            <w:tcW w:w="2340" w:type="dxa"/>
            <w:shd w:val="clear" w:color="auto" w:fill="D9D9D9" w:themeFill="background1" w:themeFillShade="D9"/>
          </w:tcPr>
          <w:p w:rsidR="009C1011" w:rsidRPr="00D80F00" w:rsidRDefault="00BA721C" w:rsidP="009C1011">
            <w:pPr>
              <w:pStyle w:val="ListParagraph"/>
              <w:ind w:left="0"/>
              <w:jc w:val="center"/>
            </w:pPr>
            <w:r w:rsidRPr="00D80F00">
              <w:t>#</w:t>
            </w:r>
            <w:r w:rsidR="009C1011" w:rsidRPr="00D80F00">
              <w:t xml:space="preserve"> Responses</w:t>
            </w:r>
          </w:p>
        </w:tc>
        <w:tc>
          <w:tcPr>
            <w:tcW w:w="1980" w:type="dxa"/>
            <w:shd w:val="clear" w:color="auto" w:fill="D9D9D9" w:themeFill="background1" w:themeFillShade="D9"/>
          </w:tcPr>
          <w:p w:rsidR="009C1011" w:rsidRPr="00D80F00" w:rsidRDefault="009C1011" w:rsidP="00B17DE5">
            <w:pPr>
              <w:pStyle w:val="ListParagraph"/>
              <w:ind w:left="0"/>
              <w:jc w:val="center"/>
            </w:pPr>
            <w:r w:rsidRPr="00D80F00">
              <w:t xml:space="preserve">Percent </w:t>
            </w:r>
          </w:p>
        </w:tc>
      </w:tr>
      <w:tr w:rsidR="009C1011" w:rsidRPr="00D80F00" w:rsidTr="005C7450">
        <w:tc>
          <w:tcPr>
            <w:tcW w:w="4140" w:type="dxa"/>
          </w:tcPr>
          <w:p w:rsidR="0034517B" w:rsidRPr="00D80F00" w:rsidRDefault="009C1011" w:rsidP="009C1011">
            <w:pPr>
              <w:pStyle w:val="ListParagraph"/>
              <w:ind w:left="0"/>
            </w:pPr>
            <w:r w:rsidRPr="00D80F00">
              <w:t>Refusing transition</w:t>
            </w:r>
          </w:p>
        </w:tc>
        <w:tc>
          <w:tcPr>
            <w:tcW w:w="2340" w:type="dxa"/>
          </w:tcPr>
          <w:p w:rsidR="009C1011" w:rsidRPr="00D80F00" w:rsidRDefault="0034517B" w:rsidP="009C1011">
            <w:pPr>
              <w:pStyle w:val="ListParagraph"/>
              <w:ind w:left="0"/>
              <w:jc w:val="center"/>
            </w:pPr>
            <w:r w:rsidRPr="00D80F00">
              <w:t>1435</w:t>
            </w:r>
          </w:p>
        </w:tc>
        <w:tc>
          <w:tcPr>
            <w:tcW w:w="1980" w:type="dxa"/>
          </w:tcPr>
          <w:p w:rsidR="009C1011" w:rsidRPr="00D80F00" w:rsidRDefault="0034517B" w:rsidP="00F30A7C">
            <w:pPr>
              <w:pStyle w:val="ListParagraph"/>
              <w:ind w:left="0"/>
              <w:jc w:val="center"/>
            </w:pPr>
            <w:r w:rsidRPr="00D80F00">
              <w:t>73.1%</w:t>
            </w:r>
          </w:p>
        </w:tc>
      </w:tr>
      <w:tr w:rsidR="009C1011" w:rsidRPr="00D80F00" w:rsidTr="005C7450">
        <w:tc>
          <w:tcPr>
            <w:tcW w:w="4140" w:type="dxa"/>
          </w:tcPr>
          <w:p w:rsidR="009C1011" w:rsidRPr="00D80F00" w:rsidRDefault="00F30A7C" w:rsidP="009C1011">
            <w:pPr>
              <w:pStyle w:val="ListParagraph"/>
              <w:ind w:left="0"/>
            </w:pPr>
            <w:r w:rsidRPr="00D80F00">
              <w:t>Guardian is refusing</w:t>
            </w:r>
          </w:p>
        </w:tc>
        <w:tc>
          <w:tcPr>
            <w:tcW w:w="2340" w:type="dxa"/>
          </w:tcPr>
          <w:p w:rsidR="009C1011" w:rsidRPr="00D80F00" w:rsidRDefault="0034517B" w:rsidP="0034517B">
            <w:pPr>
              <w:pStyle w:val="ListParagraph"/>
              <w:ind w:left="0"/>
              <w:jc w:val="center"/>
            </w:pPr>
            <w:r w:rsidRPr="00D80F00">
              <w:t>89</w:t>
            </w:r>
          </w:p>
        </w:tc>
        <w:tc>
          <w:tcPr>
            <w:tcW w:w="1980" w:type="dxa"/>
          </w:tcPr>
          <w:p w:rsidR="009C1011" w:rsidRPr="00D80F00" w:rsidRDefault="0034517B" w:rsidP="00F30A7C">
            <w:pPr>
              <w:pStyle w:val="ListParagraph"/>
              <w:ind w:left="0"/>
              <w:jc w:val="center"/>
            </w:pPr>
            <w:r w:rsidRPr="00D80F00">
              <w:t>4.5</w:t>
            </w:r>
          </w:p>
        </w:tc>
      </w:tr>
      <w:tr w:rsidR="0034517B" w:rsidRPr="00D80F00" w:rsidTr="005C7450">
        <w:tc>
          <w:tcPr>
            <w:tcW w:w="4140" w:type="dxa"/>
          </w:tcPr>
          <w:p w:rsidR="0034517B" w:rsidRPr="00D80F00" w:rsidRDefault="0034517B" w:rsidP="009C1011">
            <w:pPr>
              <w:pStyle w:val="ListParagraph"/>
              <w:ind w:left="0"/>
            </w:pPr>
            <w:r w:rsidRPr="00D80F00">
              <w:t>Go Away</w:t>
            </w:r>
          </w:p>
        </w:tc>
        <w:tc>
          <w:tcPr>
            <w:tcW w:w="2340" w:type="dxa"/>
          </w:tcPr>
          <w:p w:rsidR="0034517B" w:rsidRPr="00D80F00" w:rsidRDefault="0034517B" w:rsidP="009C1011">
            <w:pPr>
              <w:pStyle w:val="ListParagraph"/>
              <w:ind w:left="0"/>
              <w:jc w:val="center"/>
            </w:pPr>
            <w:r w:rsidRPr="00D80F00">
              <w:t>80</w:t>
            </w:r>
          </w:p>
        </w:tc>
        <w:tc>
          <w:tcPr>
            <w:tcW w:w="1980" w:type="dxa"/>
          </w:tcPr>
          <w:p w:rsidR="0034517B" w:rsidRPr="00D80F00" w:rsidRDefault="0034517B" w:rsidP="00F30A7C">
            <w:pPr>
              <w:pStyle w:val="ListParagraph"/>
              <w:ind w:left="0"/>
              <w:jc w:val="center"/>
            </w:pPr>
            <w:r w:rsidRPr="00D80F00">
              <w:t>4.1</w:t>
            </w:r>
          </w:p>
        </w:tc>
      </w:tr>
      <w:tr w:rsidR="009C1011" w:rsidRPr="00D80F00" w:rsidTr="005C7450">
        <w:tc>
          <w:tcPr>
            <w:tcW w:w="4140" w:type="dxa"/>
          </w:tcPr>
          <w:p w:rsidR="009C1011" w:rsidRPr="00D80F00" w:rsidRDefault="00F30A7C" w:rsidP="00F30A7C">
            <w:pPr>
              <w:pStyle w:val="ListParagraph"/>
              <w:ind w:left="0"/>
            </w:pPr>
            <w:r w:rsidRPr="00D80F00">
              <w:t>I am happy here</w:t>
            </w:r>
          </w:p>
        </w:tc>
        <w:tc>
          <w:tcPr>
            <w:tcW w:w="2340" w:type="dxa"/>
          </w:tcPr>
          <w:p w:rsidR="009C1011" w:rsidRPr="00D80F00" w:rsidRDefault="0034517B" w:rsidP="009C1011">
            <w:pPr>
              <w:pStyle w:val="ListParagraph"/>
              <w:ind w:left="0"/>
              <w:jc w:val="center"/>
            </w:pPr>
            <w:r w:rsidRPr="00D80F00">
              <w:t>334</w:t>
            </w:r>
          </w:p>
        </w:tc>
        <w:tc>
          <w:tcPr>
            <w:tcW w:w="1980" w:type="dxa"/>
          </w:tcPr>
          <w:p w:rsidR="009C1011" w:rsidRPr="00D80F00" w:rsidRDefault="0034517B" w:rsidP="00F30A7C">
            <w:pPr>
              <w:pStyle w:val="ListParagraph"/>
              <w:ind w:left="0"/>
              <w:jc w:val="center"/>
            </w:pPr>
            <w:r w:rsidRPr="00D80F00">
              <w:t>17.0</w:t>
            </w:r>
          </w:p>
        </w:tc>
      </w:tr>
      <w:tr w:rsidR="009C1011" w:rsidRPr="00D80F00" w:rsidTr="005C7450">
        <w:tc>
          <w:tcPr>
            <w:tcW w:w="4140" w:type="dxa"/>
          </w:tcPr>
          <w:p w:rsidR="009C1011" w:rsidRPr="00D80F00" w:rsidRDefault="00F30A7C" w:rsidP="009C1011">
            <w:pPr>
              <w:pStyle w:val="ListParagraph"/>
              <w:ind w:left="0"/>
            </w:pPr>
            <w:r w:rsidRPr="00D80F00">
              <w:t>Family objects to moving</w:t>
            </w:r>
          </w:p>
        </w:tc>
        <w:tc>
          <w:tcPr>
            <w:tcW w:w="2340" w:type="dxa"/>
          </w:tcPr>
          <w:p w:rsidR="009C1011" w:rsidRPr="00D80F00" w:rsidRDefault="0034517B" w:rsidP="009C1011">
            <w:pPr>
              <w:pStyle w:val="ListParagraph"/>
              <w:ind w:left="0"/>
              <w:jc w:val="center"/>
            </w:pPr>
            <w:r w:rsidRPr="00D80F00">
              <w:t>28</w:t>
            </w:r>
          </w:p>
        </w:tc>
        <w:tc>
          <w:tcPr>
            <w:tcW w:w="1980" w:type="dxa"/>
          </w:tcPr>
          <w:p w:rsidR="009C1011" w:rsidRPr="00D80F00" w:rsidRDefault="0034517B" w:rsidP="00F30A7C">
            <w:pPr>
              <w:pStyle w:val="ListParagraph"/>
              <w:ind w:left="0"/>
              <w:jc w:val="center"/>
            </w:pPr>
            <w:r w:rsidRPr="00D80F00">
              <w:t>1.4</w:t>
            </w:r>
          </w:p>
        </w:tc>
      </w:tr>
      <w:tr w:rsidR="009C1011" w:rsidRPr="00D80F00" w:rsidTr="005C7450">
        <w:tc>
          <w:tcPr>
            <w:tcW w:w="4140" w:type="dxa"/>
          </w:tcPr>
          <w:p w:rsidR="009C1011" w:rsidRPr="00D80F00" w:rsidRDefault="00F30A7C" w:rsidP="009C1011">
            <w:pPr>
              <w:pStyle w:val="ListParagraph"/>
              <w:ind w:left="0"/>
            </w:pPr>
            <w:r w:rsidRPr="00D80F00">
              <w:t>I am afraid because others have failed</w:t>
            </w:r>
          </w:p>
        </w:tc>
        <w:tc>
          <w:tcPr>
            <w:tcW w:w="2340" w:type="dxa"/>
          </w:tcPr>
          <w:p w:rsidR="009C1011" w:rsidRPr="00D80F00" w:rsidRDefault="0034517B" w:rsidP="009C1011">
            <w:pPr>
              <w:pStyle w:val="ListParagraph"/>
              <w:ind w:left="0"/>
              <w:jc w:val="center"/>
            </w:pPr>
            <w:r w:rsidRPr="00D80F00">
              <w:t>4</w:t>
            </w:r>
          </w:p>
        </w:tc>
        <w:tc>
          <w:tcPr>
            <w:tcW w:w="1980" w:type="dxa"/>
          </w:tcPr>
          <w:p w:rsidR="009C1011" w:rsidRPr="00D80F00" w:rsidRDefault="0034517B" w:rsidP="00F30A7C">
            <w:pPr>
              <w:pStyle w:val="ListParagraph"/>
              <w:ind w:left="0"/>
              <w:jc w:val="center"/>
            </w:pPr>
            <w:r w:rsidRPr="00D80F00">
              <w:t>0.2</w:t>
            </w:r>
          </w:p>
        </w:tc>
      </w:tr>
      <w:tr w:rsidR="009C1011" w:rsidRPr="00D80F00" w:rsidTr="005C7450">
        <w:tc>
          <w:tcPr>
            <w:tcW w:w="4140" w:type="dxa"/>
          </w:tcPr>
          <w:p w:rsidR="009C1011" w:rsidRPr="00D80F00" w:rsidRDefault="00F30A7C" w:rsidP="009C1011">
            <w:pPr>
              <w:pStyle w:val="ListParagraph"/>
              <w:ind w:left="0"/>
            </w:pPr>
            <w:r w:rsidRPr="00D80F00">
              <w:t>Other things in my life</w:t>
            </w:r>
          </w:p>
        </w:tc>
        <w:tc>
          <w:tcPr>
            <w:tcW w:w="2340" w:type="dxa"/>
          </w:tcPr>
          <w:p w:rsidR="009C1011" w:rsidRPr="00D80F00" w:rsidRDefault="0034517B" w:rsidP="009C1011">
            <w:pPr>
              <w:pStyle w:val="ListParagraph"/>
              <w:ind w:left="0"/>
              <w:jc w:val="center"/>
            </w:pPr>
            <w:r w:rsidRPr="00D80F00">
              <w:t>49</w:t>
            </w:r>
          </w:p>
        </w:tc>
        <w:tc>
          <w:tcPr>
            <w:tcW w:w="1980" w:type="dxa"/>
          </w:tcPr>
          <w:p w:rsidR="009C1011" w:rsidRPr="00D80F00" w:rsidRDefault="0034517B" w:rsidP="00F30A7C">
            <w:pPr>
              <w:pStyle w:val="ListParagraph"/>
              <w:ind w:left="0"/>
              <w:jc w:val="center"/>
            </w:pPr>
            <w:r w:rsidRPr="00D80F00">
              <w:t>2.5</w:t>
            </w:r>
          </w:p>
        </w:tc>
      </w:tr>
      <w:tr w:rsidR="009C1011" w:rsidRPr="00D80F00" w:rsidTr="005C7450">
        <w:tc>
          <w:tcPr>
            <w:tcW w:w="4140" w:type="dxa"/>
          </w:tcPr>
          <w:p w:rsidR="009C1011" w:rsidRPr="00D80F00" w:rsidRDefault="00F30A7C" w:rsidP="009C1011">
            <w:pPr>
              <w:pStyle w:val="ListParagraph"/>
              <w:ind w:left="0"/>
            </w:pPr>
            <w:r w:rsidRPr="00D80F00">
              <w:t>Maybe later</w:t>
            </w:r>
          </w:p>
        </w:tc>
        <w:tc>
          <w:tcPr>
            <w:tcW w:w="2340" w:type="dxa"/>
          </w:tcPr>
          <w:p w:rsidR="009C1011" w:rsidRPr="00D80F00" w:rsidRDefault="0034517B" w:rsidP="009C1011">
            <w:pPr>
              <w:pStyle w:val="ListParagraph"/>
              <w:ind w:left="0"/>
              <w:jc w:val="center"/>
            </w:pPr>
            <w:r w:rsidRPr="00D80F00">
              <w:t>123</w:t>
            </w:r>
          </w:p>
        </w:tc>
        <w:tc>
          <w:tcPr>
            <w:tcW w:w="1980" w:type="dxa"/>
          </w:tcPr>
          <w:p w:rsidR="009C1011" w:rsidRPr="00D80F00" w:rsidRDefault="0034517B" w:rsidP="00F30A7C">
            <w:pPr>
              <w:pStyle w:val="ListParagraph"/>
              <w:ind w:left="0"/>
              <w:jc w:val="center"/>
            </w:pPr>
            <w:r w:rsidRPr="00D80F00">
              <w:t>6.3</w:t>
            </w:r>
          </w:p>
        </w:tc>
      </w:tr>
      <w:tr w:rsidR="009C1011" w:rsidRPr="00D80F00" w:rsidTr="005C7450">
        <w:tc>
          <w:tcPr>
            <w:tcW w:w="4140" w:type="dxa"/>
          </w:tcPr>
          <w:p w:rsidR="009C1011" w:rsidRPr="00D80F00" w:rsidRDefault="00F30A7C" w:rsidP="009C1011">
            <w:pPr>
              <w:pStyle w:val="ListParagraph"/>
              <w:ind w:left="0"/>
            </w:pPr>
            <w:r w:rsidRPr="00D80F00">
              <w:t>I am thinking about it</w:t>
            </w:r>
          </w:p>
        </w:tc>
        <w:tc>
          <w:tcPr>
            <w:tcW w:w="2340" w:type="dxa"/>
          </w:tcPr>
          <w:p w:rsidR="009C1011" w:rsidRPr="00D80F00" w:rsidRDefault="0034517B" w:rsidP="009C1011">
            <w:pPr>
              <w:pStyle w:val="ListParagraph"/>
              <w:ind w:left="0"/>
              <w:jc w:val="center"/>
            </w:pPr>
            <w:r w:rsidRPr="00D80F00">
              <w:t>41</w:t>
            </w:r>
          </w:p>
        </w:tc>
        <w:tc>
          <w:tcPr>
            <w:tcW w:w="1980" w:type="dxa"/>
          </w:tcPr>
          <w:p w:rsidR="009C1011" w:rsidRPr="00D80F00" w:rsidRDefault="0034517B" w:rsidP="00F30A7C">
            <w:pPr>
              <w:pStyle w:val="ListParagraph"/>
              <w:ind w:left="0"/>
              <w:jc w:val="center"/>
            </w:pPr>
            <w:r w:rsidRPr="00D80F00">
              <w:t>2.1</w:t>
            </w:r>
          </w:p>
        </w:tc>
      </w:tr>
      <w:tr w:rsidR="009C1011" w:rsidRPr="00D80F00" w:rsidTr="005C7450">
        <w:tc>
          <w:tcPr>
            <w:tcW w:w="4140" w:type="dxa"/>
          </w:tcPr>
          <w:p w:rsidR="009C1011" w:rsidRPr="00D80F00" w:rsidRDefault="00F30A7C" w:rsidP="009C1011">
            <w:pPr>
              <w:pStyle w:val="ListParagraph"/>
              <w:ind w:left="0"/>
            </w:pPr>
            <w:r w:rsidRPr="00D80F00">
              <w:t>I want to but have not had an assessment</w:t>
            </w:r>
          </w:p>
        </w:tc>
        <w:tc>
          <w:tcPr>
            <w:tcW w:w="2340" w:type="dxa"/>
          </w:tcPr>
          <w:p w:rsidR="009C1011" w:rsidRPr="00D80F00" w:rsidRDefault="0034517B" w:rsidP="009C1011">
            <w:pPr>
              <w:pStyle w:val="ListParagraph"/>
              <w:ind w:left="0"/>
              <w:jc w:val="center"/>
            </w:pPr>
            <w:r w:rsidRPr="00D80F00">
              <w:t>487</w:t>
            </w:r>
          </w:p>
        </w:tc>
        <w:tc>
          <w:tcPr>
            <w:tcW w:w="1980" w:type="dxa"/>
          </w:tcPr>
          <w:p w:rsidR="009C1011" w:rsidRPr="00D80F00" w:rsidRDefault="0034517B" w:rsidP="00F30A7C">
            <w:pPr>
              <w:pStyle w:val="ListParagraph"/>
              <w:ind w:left="0"/>
              <w:jc w:val="center"/>
            </w:pPr>
            <w:r w:rsidRPr="00D80F00">
              <w:t>24.8</w:t>
            </w:r>
          </w:p>
        </w:tc>
      </w:tr>
      <w:tr w:rsidR="009C1011" w:rsidRPr="00D80F00" w:rsidTr="005C7450">
        <w:tc>
          <w:tcPr>
            <w:tcW w:w="4140" w:type="dxa"/>
          </w:tcPr>
          <w:p w:rsidR="009C1011" w:rsidRPr="00D80F00" w:rsidRDefault="00F30A7C" w:rsidP="00B17DE5">
            <w:pPr>
              <w:pStyle w:val="ListParagraph"/>
              <w:ind w:left="0"/>
              <w:jc w:val="center"/>
            </w:pPr>
            <w:r w:rsidRPr="00D80F00">
              <w:t>Total</w:t>
            </w:r>
          </w:p>
        </w:tc>
        <w:tc>
          <w:tcPr>
            <w:tcW w:w="2340" w:type="dxa"/>
          </w:tcPr>
          <w:p w:rsidR="009C1011" w:rsidRPr="00D80F00" w:rsidRDefault="0034517B" w:rsidP="009C1011">
            <w:pPr>
              <w:pStyle w:val="ListParagraph"/>
              <w:ind w:left="0"/>
              <w:jc w:val="center"/>
            </w:pPr>
            <w:r w:rsidRPr="00D80F00">
              <w:t>2670</w:t>
            </w:r>
          </w:p>
        </w:tc>
        <w:tc>
          <w:tcPr>
            <w:tcW w:w="1980" w:type="dxa"/>
          </w:tcPr>
          <w:p w:rsidR="009C1011" w:rsidRPr="00D80F00" w:rsidRDefault="009C1011" w:rsidP="00F30A7C">
            <w:pPr>
              <w:pStyle w:val="ListParagraph"/>
              <w:ind w:left="0"/>
              <w:jc w:val="center"/>
            </w:pPr>
          </w:p>
        </w:tc>
      </w:tr>
    </w:tbl>
    <w:p w:rsidR="004E1547" w:rsidRPr="00D80F00" w:rsidRDefault="004E1547" w:rsidP="009C1011">
      <w:pPr>
        <w:pStyle w:val="ListParagraph"/>
        <w:jc w:val="center"/>
        <w:rPr>
          <w:b/>
        </w:rPr>
      </w:pPr>
    </w:p>
    <w:p w:rsidR="001E3CB1" w:rsidRPr="00D80F00" w:rsidRDefault="001E3CB1" w:rsidP="00172F85">
      <w:pPr>
        <w:pStyle w:val="ListParagraph"/>
        <w:ind w:left="0"/>
        <w:rPr>
          <w:b/>
        </w:rPr>
      </w:pPr>
    </w:p>
    <w:p w:rsidR="009D4621" w:rsidRPr="00D80F00" w:rsidRDefault="00DF444F" w:rsidP="00172F85">
      <w:pPr>
        <w:pStyle w:val="ListParagraph"/>
        <w:ind w:left="0"/>
        <w:rPr>
          <w:b/>
        </w:rPr>
      </w:pPr>
      <w:r w:rsidRPr="00D80F00">
        <w:rPr>
          <w:b/>
        </w:rPr>
        <w:t xml:space="preserve">Percentage of Residents </w:t>
      </w:r>
      <w:r w:rsidR="009D4621" w:rsidRPr="00D80F00">
        <w:rPr>
          <w:b/>
        </w:rPr>
        <w:t xml:space="preserve">Seen as of </w:t>
      </w:r>
      <w:r w:rsidR="00E023B2" w:rsidRPr="00D80F00">
        <w:rPr>
          <w:b/>
        </w:rPr>
        <w:t>May 5, 2015</w:t>
      </w:r>
    </w:p>
    <w:p w:rsidR="00172F85" w:rsidRPr="00D80F00" w:rsidRDefault="00172F85" w:rsidP="00172F85">
      <w:pPr>
        <w:pStyle w:val="ListParagraph"/>
        <w:ind w:left="0"/>
        <w:rPr>
          <w:b/>
        </w:rPr>
      </w:pPr>
    </w:p>
    <w:tbl>
      <w:tblPr>
        <w:tblStyle w:val="TableGrid"/>
        <w:tblW w:w="0" w:type="auto"/>
        <w:tblInd w:w="108" w:type="dxa"/>
        <w:tblLook w:val="04A0" w:firstRow="1" w:lastRow="0" w:firstColumn="1" w:lastColumn="0" w:noHBand="0" w:noVBand="1"/>
      </w:tblPr>
      <w:tblGrid>
        <w:gridCol w:w="3417"/>
        <w:gridCol w:w="1713"/>
        <w:gridCol w:w="1620"/>
        <w:gridCol w:w="1800"/>
      </w:tblGrid>
      <w:tr w:rsidR="00172F85" w:rsidRPr="00D80F00" w:rsidTr="005C7450">
        <w:tc>
          <w:tcPr>
            <w:tcW w:w="3417" w:type="dxa"/>
            <w:shd w:val="clear" w:color="auto" w:fill="D9D9D9" w:themeFill="background1" w:themeFillShade="D9"/>
          </w:tcPr>
          <w:p w:rsidR="00172F85" w:rsidRPr="008B0274" w:rsidRDefault="00172F85" w:rsidP="00172F85">
            <w:pPr>
              <w:pStyle w:val="ListParagraph"/>
              <w:ind w:left="0"/>
              <w:jc w:val="center"/>
            </w:pPr>
            <w:r w:rsidRPr="008B0274">
              <w:t>Facility</w:t>
            </w:r>
          </w:p>
        </w:tc>
        <w:tc>
          <w:tcPr>
            <w:tcW w:w="1713" w:type="dxa"/>
            <w:shd w:val="clear" w:color="auto" w:fill="D9D9D9" w:themeFill="background1" w:themeFillShade="D9"/>
          </w:tcPr>
          <w:p w:rsidR="00172F85" w:rsidRPr="008B0274" w:rsidRDefault="00172F85" w:rsidP="00172F85">
            <w:pPr>
              <w:pStyle w:val="ListParagraph"/>
              <w:ind w:left="0"/>
              <w:jc w:val="center"/>
            </w:pPr>
            <w:r w:rsidRPr="008B0274">
              <w:t># Beds</w:t>
            </w:r>
          </w:p>
        </w:tc>
        <w:tc>
          <w:tcPr>
            <w:tcW w:w="1620" w:type="dxa"/>
            <w:shd w:val="clear" w:color="auto" w:fill="D9D9D9" w:themeFill="background1" w:themeFillShade="D9"/>
          </w:tcPr>
          <w:p w:rsidR="00172F85" w:rsidRPr="008B0274" w:rsidRDefault="00172F85" w:rsidP="00172F85">
            <w:pPr>
              <w:pStyle w:val="ListParagraph"/>
              <w:ind w:left="0"/>
              <w:jc w:val="center"/>
            </w:pPr>
            <w:r w:rsidRPr="008B0274">
              <w:t># Seen</w:t>
            </w:r>
          </w:p>
        </w:tc>
        <w:tc>
          <w:tcPr>
            <w:tcW w:w="1800" w:type="dxa"/>
            <w:shd w:val="clear" w:color="auto" w:fill="D9D9D9" w:themeFill="background1" w:themeFillShade="D9"/>
          </w:tcPr>
          <w:p w:rsidR="00172F85" w:rsidRPr="008B0274" w:rsidRDefault="00172F85" w:rsidP="00172F85">
            <w:pPr>
              <w:pStyle w:val="ListParagraph"/>
              <w:ind w:left="0"/>
              <w:jc w:val="center"/>
            </w:pPr>
            <w:r w:rsidRPr="008B0274">
              <w:t>Percent</w:t>
            </w:r>
          </w:p>
        </w:tc>
      </w:tr>
      <w:tr w:rsidR="00172F85" w:rsidRPr="00D80F00" w:rsidTr="005C7450">
        <w:tc>
          <w:tcPr>
            <w:tcW w:w="3417" w:type="dxa"/>
          </w:tcPr>
          <w:p w:rsidR="00172F85" w:rsidRPr="008B0274" w:rsidRDefault="00172F85" w:rsidP="006B3982">
            <w:pPr>
              <w:pStyle w:val="ListParagraph"/>
              <w:ind w:left="0"/>
            </w:pPr>
            <w:r w:rsidRPr="008B0274">
              <w:t>Abbott House</w:t>
            </w:r>
          </w:p>
        </w:tc>
        <w:tc>
          <w:tcPr>
            <w:tcW w:w="1713" w:type="dxa"/>
          </w:tcPr>
          <w:p w:rsidR="00172F85" w:rsidRPr="008B0274" w:rsidRDefault="00B17DE5" w:rsidP="006B3982">
            <w:pPr>
              <w:pStyle w:val="ListParagraph"/>
              <w:ind w:left="0"/>
              <w:jc w:val="center"/>
            </w:pPr>
            <w:r w:rsidRPr="008B0274">
              <w:t>104</w:t>
            </w:r>
          </w:p>
        </w:tc>
        <w:tc>
          <w:tcPr>
            <w:tcW w:w="1620" w:type="dxa"/>
          </w:tcPr>
          <w:p w:rsidR="00172F85" w:rsidRPr="008B0274" w:rsidRDefault="00EF612F" w:rsidP="006B3982">
            <w:pPr>
              <w:pStyle w:val="ListParagraph"/>
              <w:ind w:left="0"/>
              <w:jc w:val="center"/>
            </w:pPr>
            <w:r w:rsidRPr="008B0274">
              <w:t>183</w:t>
            </w:r>
          </w:p>
        </w:tc>
        <w:tc>
          <w:tcPr>
            <w:tcW w:w="1800" w:type="dxa"/>
          </w:tcPr>
          <w:p w:rsidR="00172F85" w:rsidRPr="008B0274" w:rsidRDefault="00EF612F" w:rsidP="006B3982">
            <w:pPr>
              <w:pStyle w:val="ListParagraph"/>
              <w:ind w:left="0"/>
              <w:jc w:val="center"/>
            </w:pPr>
            <w:r w:rsidRPr="008B0274">
              <w:t>175.96%</w:t>
            </w:r>
          </w:p>
        </w:tc>
      </w:tr>
      <w:tr w:rsidR="00172F85" w:rsidRPr="00D80F00" w:rsidTr="005C7450">
        <w:tc>
          <w:tcPr>
            <w:tcW w:w="3417" w:type="dxa"/>
          </w:tcPr>
          <w:p w:rsidR="00172F85" w:rsidRPr="008B0274" w:rsidRDefault="00172F85" w:rsidP="006B3982">
            <w:pPr>
              <w:pStyle w:val="ListParagraph"/>
              <w:ind w:left="0"/>
            </w:pPr>
            <w:r w:rsidRPr="008B0274">
              <w:rPr>
                <w:rFonts w:eastAsia="Times New Roman" w:cs="Times New Roman"/>
                <w:color w:val="000000"/>
              </w:rPr>
              <w:t>Albany Care</w:t>
            </w:r>
          </w:p>
        </w:tc>
        <w:tc>
          <w:tcPr>
            <w:tcW w:w="1713" w:type="dxa"/>
          </w:tcPr>
          <w:p w:rsidR="00172F85" w:rsidRPr="008B0274" w:rsidRDefault="00B17DE5" w:rsidP="006B3982">
            <w:pPr>
              <w:pStyle w:val="ListParagraph"/>
              <w:ind w:left="0"/>
              <w:jc w:val="center"/>
            </w:pPr>
            <w:r w:rsidRPr="008B0274">
              <w:t>385</w:t>
            </w:r>
          </w:p>
        </w:tc>
        <w:tc>
          <w:tcPr>
            <w:tcW w:w="1620" w:type="dxa"/>
          </w:tcPr>
          <w:p w:rsidR="00172F85" w:rsidRPr="008B0274" w:rsidRDefault="00EF612F" w:rsidP="006B3982">
            <w:pPr>
              <w:pStyle w:val="ListParagraph"/>
              <w:ind w:left="0"/>
              <w:jc w:val="center"/>
            </w:pPr>
            <w:r w:rsidRPr="008B0274">
              <w:t>546</w:t>
            </w:r>
          </w:p>
        </w:tc>
        <w:tc>
          <w:tcPr>
            <w:tcW w:w="1800" w:type="dxa"/>
          </w:tcPr>
          <w:p w:rsidR="00172F85" w:rsidRPr="008B0274" w:rsidRDefault="00EF612F" w:rsidP="006B3982">
            <w:pPr>
              <w:pStyle w:val="ListParagraph"/>
              <w:ind w:left="0"/>
              <w:jc w:val="center"/>
            </w:pPr>
            <w:r w:rsidRPr="008B0274">
              <w:t>141.82</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Bayside Terrace</w:t>
            </w:r>
          </w:p>
        </w:tc>
        <w:tc>
          <w:tcPr>
            <w:tcW w:w="1713" w:type="dxa"/>
          </w:tcPr>
          <w:p w:rsidR="00172F85" w:rsidRPr="008B0274" w:rsidRDefault="00B17DE5" w:rsidP="006B3982">
            <w:pPr>
              <w:pStyle w:val="ListParagraph"/>
              <w:ind w:left="0"/>
              <w:jc w:val="center"/>
            </w:pPr>
            <w:r w:rsidRPr="008B0274">
              <w:t>148</w:t>
            </w:r>
          </w:p>
        </w:tc>
        <w:tc>
          <w:tcPr>
            <w:tcW w:w="1620" w:type="dxa"/>
          </w:tcPr>
          <w:p w:rsidR="00172F85" w:rsidRPr="008B0274" w:rsidRDefault="00EF612F" w:rsidP="006B3982">
            <w:pPr>
              <w:pStyle w:val="ListParagraph"/>
              <w:ind w:left="0"/>
              <w:jc w:val="center"/>
            </w:pPr>
            <w:r w:rsidRPr="008B0274">
              <w:t>284</w:t>
            </w:r>
          </w:p>
        </w:tc>
        <w:tc>
          <w:tcPr>
            <w:tcW w:w="1800" w:type="dxa"/>
          </w:tcPr>
          <w:p w:rsidR="00172F85" w:rsidRPr="008B0274" w:rsidRDefault="00EF612F" w:rsidP="006B3982">
            <w:pPr>
              <w:pStyle w:val="ListParagraph"/>
              <w:ind w:left="0"/>
              <w:jc w:val="center"/>
            </w:pPr>
            <w:r w:rsidRPr="008B0274">
              <w:t>191.89</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Belmont Crossing</w:t>
            </w:r>
          </w:p>
        </w:tc>
        <w:tc>
          <w:tcPr>
            <w:tcW w:w="1713" w:type="dxa"/>
          </w:tcPr>
          <w:p w:rsidR="00172F85" w:rsidRPr="008B0274" w:rsidRDefault="00B17DE5" w:rsidP="006B3982">
            <w:pPr>
              <w:pStyle w:val="ListParagraph"/>
              <w:ind w:left="0"/>
              <w:jc w:val="center"/>
            </w:pPr>
            <w:r w:rsidRPr="008B0274">
              <w:t>54</w:t>
            </w:r>
          </w:p>
        </w:tc>
        <w:tc>
          <w:tcPr>
            <w:tcW w:w="1620" w:type="dxa"/>
          </w:tcPr>
          <w:p w:rsidR="00172F85" w:rsidRPr="008B0274" w:rsidRDefault="004546C6" w:rsidP="006B3982">
            <w:pPr>
              <w:pStyle w:val="ListParagraph"/>
              <w:ind w:left="0"/>
              <w:jc w:val="center"/>
            </w:pPr>
            <w:r w:rsidRPr="008B0274">
              <w:t>97</w:t>
            </w:r>
          </w:p>
        </w:tc>
        <w:tc>
          <w:tcPr>
            <w:tcW w:w="1800" w:type="dxa"/>
          </w:tcPr>
          <w:p w:rsidR="00172F85" w:rsidRPr="008B0274" w:rsidRDefault="004546C6" w:rsidP="006B3982">
            <w:pPr>
              <w:pStyle w:val="ListParagraph"/>
              <w:ind w:left="0"/>
              <w:jc w:val="center"/>
            </w:pPr>
            <w:r w:rsidRPr="008B0274">
              <w:t>179.63</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Bourbonnais Terrace</w:t>
            </w:r>
          </w:p>
        </w:tc>
        <w:tc>
          <w:tcPr>
            <w:tcW w:w="1713" w:type="dxa"/>
          </w:tcPr>
          <w:p w:rsidR="00172F85" w:rsidRPr="008B0274" w:rsidRDefault="00B17DE5" w:rsidP="006B3982">
            <w:pPr>
              <w:pStyle w:val="ListParagraph"/>
              <w:ind w:left="0"/>
              <w:jc w:val="center"/>
            </w:pPr>
            <w:r w:rsidRPr="008B0274">
              <w:t>197</w:t>
            </w:r>
          </w:p>
        </w:tc>
        <w:tc>
          <w:tcPr>
            <w:tcW w:w="1620" w:type="dxa"/>
          </w:tcPr>
          <w:p w:rsidR="00172F85" w:rsidRPr="008B0274" w:rsidRDefault="004546C6" w:rsidP="006B3982">
            <w:pPr>
              <w:pStyle w:val="ListParagraph"/>
              <w:ind w:left="0"/>
              <w:jc w:val="center"/>
            </w:pPr>
            <w:r w:rsidRPr="008B0274">
              <w:t>300</w:t>
            </w:r>
          </w:p>
        </w:tc>
        <w:tc>
          <w:tcPr>
            <w:tcW w:w="1800" w:type="dxa"/>
          </w:tcPr>
          <w:p w:rsidR="00172F85" w:rsidRPr="008B0274" w:rsidRDefault="004546C6" w:rsidP="006B3982">
            <w:pPr>
              <w:pStyle w:val="ListParagraph"/>
              <w:ind w:left="0"/>
              <w:jc w:val="center"/>
            </w:pPr>
            <w:r w:rsidRPr="008B0274">
              <w:t>152.28</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Bryn Mar Care</w:t>
            </w:r>
          </w:p>
        </w:tc>
        <w:tc>
          <w:tcPr>
            <w:tcW w:w="1713" w:type="dxa"/>
          </w:tcPr>
          <w:p w:rsidR="00172F85" w:rsidRPr="008B0274" w:rsidRDefault="00B17DE5" w:rsidP="006B3982">
            <w:pPr>
              <w:pStyle w:val="ListParagraph"/>
              <w:ind w:left="0"/>
              <w:jc w:val="center"/>
            </w:pPr>
            <w:r w:rsidRPr="008B0274">
              <w:t>170</w:t>
            </w:r>
          </w:p>
        </w:tc>
        <w:tc>
          <w:tcPr>
            <w:tcW w:w="1620" w:type="dxa"/>
          </w:tcPr>
          <w:p w:rsidR="00172F85" w:rsidRPr="008B0274" w:rsidRDefault="004546C6" w:rsidP="006B3982">
            <w:pPr>
              <w:pStyle w:val="ListParagraph"/>
              <w:ind w:left="0"/>
              <w:jc w:val="center"/>
            </w:pPr>
            <w:r w:rsidRPr="008B0274">
              <w:t>334</w:t>
            </w:r>
          </w:p>
        </w:tc>
        <w:tc>
          <w:tcPr>
            <w:tcW w:w="1800" w:type="dxa"/>
          </w:tcPr>
          <w:p w:rsidR="00172F85" w:rsidRPr="008B0274" w:rsidRDefault="004546C6" w:rsidP="006B3982">
            <w:pPr>
              <w:pStyle w:val="ListParagraph"/>
              <w:ind w:left="0"/>
              <w:jc w:val="center"/>
            </w:pPr>
            <w:r w:rsidRPr="008B0274">
              <w:t>196.47</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Central Plaza</w:t>
            </w:r>
          </w:p>
        </w:tc>
        <w:tc>
          <w:tcPr>
            <w:tcW w:w="1713" w:type="dxa"/>
          </w:tcPr>
          <w:p w:rsidR="00172F85" w:rsidRPr="008B0274" w:rsidRDefault="00B17DE5" w:rsidP="006B3982">
            <w:pPr>
              <w:pStyle w:val="ListParagraph"/>
              <w:ind w:left="0"/>
              <w:jc w:val="center"/>
            </w:pPr>
            <w:r w:rsidRPr="008B0274">
              <w:t>260</w:t>
            </w:r>
          </w:p>
        </w:tc>
        <w:tc>
          <w:tcPr>
            <w:tcW w:w="1620" w:type="dxa"/>
          </w:tcPr>
          <w:p w:rsidR="00172F85" w:rsidRPr="008B0274" w:rsidRDefault="004546C6" w:rsidP="006B3982">
            <w:pPr>
              <w:pStyle w:val="ListParagraph"/>
              <w:ind w:left="0"/>
              <w:jc w:val="center"/>
            </w:pPr>
            <w:r w:rsidRPr="008B0274">
              <w:t>353</w:t>
            </w:r>
          </w:p>
        </w:tc>
        <w:tc>
          <w:tcPr>
            <w:tcW w:w="1800" w:type="dxa"/>
          </w:tcPr>
          <w:p w:rsidR="00172F85" w:rsidRPr="008B0274" w:rsidRDefault="004546C6" w:rsidP="006B3982">
            <w:pPr>
              <w:pStyle w:val="ListParagraph"/>
              <w:ind w:left="0"/>
              <w:jc w:val="center"/>
            </w:pPr>
            <w:r w:rsidRPr="008B0274">
              <w:t>135.77</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Clayton Residential Home</w:t>
            </w:r>
          </w:p>
        </w:tc>
        <w:tc>
          <w:tcPr>
            <w:tcW w:w="1713" w:type="dxa"/>
          </w:tcPr>
          <w:p w:rsidR="00172F85" w:rsidRPr="008B0274" w:rsidRDefault="00B17DE5" w:rsidP="006B3982">
            <w:pPr>
              <w:pStyle w:val="ListParagraph"/>
              <w:ind w:left="0"/>
              <w:jc w:val="center"/>
            </w:pPr>
            <w:r w:rsidRPr="008B0274">
              <w:t>228</w:t>
            </w:r>
          </w:p>
        </w:tc>
        <w:tc>
          <w:tcPr>
            <w:tcW w:w="1620" w:type="dxa"/>
          </w:tcPr>
          <w:p w:rsidR="00172F85" w:rsidRPr="008B0274" w:rsidRDefault="004546C6" w:rsidP="006B3982">
            <w:pPr>
              <w:pStyle w:val="ListParagraph"/>
              <w:ind w:left="0"/>
              <w:jc w:val="center"/>
            </w:pPr>
            <w:r w:rsidRPr="008B0274">
              <w:t>437</w:t>
            </w:r>
          </w:p>
        </w:tc>
        <w:tc>
          <w:tcPr>
            <w:tcW w:w="1800" w:type="dxa"/>
          </w:tcPr>
          <w:p w:rsidR="00172F85" w:rsidRPr="008B0274" w:rsidRDefault="004546C6" w:rsidP="006B3982">
            <w:pPr>
              <w:pStyle w:val="ListParagraph"/>
              <w:ind w:left="0"/>
              <w:jc w:val="center"/>
            </w:pPr>
            <w:r w:rsidRPr="008B0274">
              <w:t>191.67</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Columbus Manor Res Care</w:t>
            </w:r>
          </w:p>
        </w:tc>
        <w:tc>
          <w:tcPr>
            <w:tcW w:w="1713" w:type="dxa"/>
          </w:tcPr>
          <w:p w:rsidR="00172F85" w:rsidRPr="008B0274" w:rsidRDefault="00B17DE5" w:rsidP="006B3982">
            <w:pPr>
              <w:pStyle w:val="ListParagraph"/>
              <w:ind w:left="0"/>
              <w:jc w:val="center"/>
            </w:pPr>
            <w:r w:rsidRPr="008B0274">
              <w:t>99</w:t>
            </w:r>
          </w:p>
        </w:tc>
        <w:tc>
          <w:tcPr>
            <w:tcW w:w="1620" w:type="dxa"/>
          </w:tcPr>
          <w:p w:rsidR="00172F85" w:rsidRPr="008B0274" w:rsidRDefault="004546C6" w:rsidP="006B3982">
            <w:pPr>
              <w:pStyle w:val="ListParagraph"/>
              <w:ind w:left="0"/>
              <w:jc w:val="center"/>
            </w:pPr>
            <w:r w:rsidRPr="008B0274">
              <w:t>256</w:t>
            </w:r>
          </w:p>
        </w:tc>
        <w:tc>
          <w:tcPr>
            <w:tcW w:w="1800" w:type="dxa"/>
          </w:tcPr>
          <w:p w:rsidR="00172F85" w:rsidRPr="008B0274" w:rsidRDefault="004546C6" w:rsidP="006B3982">
            <w:pPr>
              <w:pStyle w:val="ListParagraph"/>
              <w:ind w:left="0"/>
              <w:jc w:val="center"/>
            </w:pPr>
            <w:r w:rsidRPr="008B0274">
              <w:t>258.59</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 xml:space="preserve">Grasmere </w:t>
            </w:r>
            <w:r w:rsidR="004546C6" w:rsidRPr="008B0274">
              <w:rPr>
                <w:rFonts w:eastAsia="Times New Roman" w:cs="Times New Roman"/>
                <w:color w:val="000000"/>
              </w:rPr>
              <w:t>Residential Home</w:t>
            </w:r>
          </w:p>
        </w:tc>
        <w:tc>
          <w:tcPr>
            <w:tcW w:w="1713" w:type="dxa"/>
          </w:tcPr>
          <w:p w:rsidR="00172F85" w:rsidRPr="008B0274" w:rsidRDefault="00B17DE5" w:rsidP="006B3982">
            <w:pPr>
              <w:pStyle w:val="ListParagraph"/>
              <w:ind w:left="0"/>
              <w:jc w:val="center"/>
            </w:pPr>
            <w:r w:rsidRPr="008B0274">
              <w:t>206</w:t>
            </w:r>
          </w:p>
        </w:tc>
        <w:tc>
          <w:tcPr>
            <w:tcW w:w="1620" w:type="dxa"/>
          </w:tcPr>
          <w:p w:rsidR="00172F85" w:rsidRPr="008B0274" w:rsidRDefault="004546C6" w:rsidP="006B3982">
            <w:pPr>
              <w:pStyle w:val="ListParagraph"/>
              <w:ind w:left="0"/>
              <w:jc w:val="center"/>
            </w:pPr>
            <w:r w:rsidRPr="008B0274">
              <w:t>439</w:t>
            </w:r>
          </w:p>
        </w:tc>
        <w:tc>
          <w:tcPr>
            <w:tcW w:w="1800" w:type="dxa"/>
          </w:tcPr>
          <w:p w:rsidR="00172F85" w:rsidRPr="008B0274" w:rsidRDefault="004546C6" w:rsidP="006B3982">
            <w:pPr>
              <w:pStyle w:val="ListParagraph"/>
              <w:ind w:left="0"/>
              <w:jc w:val="center"/>
            </w:pPr>
            <w:r w:rsidRPr="008B0274">
              <w:t>213.11</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Greenwood Care</w:t>
            </w:r>
            <w:r w:rsidR="004546C6" w:rsidRPr="008B0274">
              <w:rPr>
                <w:rFonts w:eastAsia="Times New Roman" w:cs="Times New Roman"/>
                <w:color w:val="000000"/>
              </w:rPr>
              <w:t xml:space="preserve"> Center</w:t>
            </w:r>
          </w:p>
        </w:tc>
        <w:tc>
          <w:tcPr>
            <w:tcW w:w="1713" w:type="dxa"/>
          </w:tcPr>
          <w:p w:rsidR="00172F85" w:rsidRPr="008B0274" w:rsidRDefault="00B17DE5" w:rsidP="006B3982">
            <w:pPr>
              <w:pStyle w:val="ListParagraph"/>
              <w:ind w:left="0"/>
              <w:jc w:val="center"/>
            </w:pPr>
            <w:r w:rsidRPr="008B0274">
              <w:t>140</w:t>
            </w:r>
          </w:p>
        </w:tc>
        <w:tc>
          <w:tcPr>
            <w:tcW w:w="1620" w:type="dxa"/>
          </w:tcPr>
          <w:p w:rsidR="00172F85" w:rsidRPr="008B0274" w:rsidRDefault="004546C6" w:rsidP="006B3982">
            <w:pPr>
              <w:pStyle w:val="ListParagraph"/>
              <w:ind w:left="0"/>
              <w:jc w:val="center"/>
            </w:pPr>
            <w:r w:rsidRPr="008B0274">
              <w:t>280</w:t>
            </w:r>
          </w:p>
        </w:tc>
        <w:tc>
          <w:tcPr>
            <w:tcW w:w="1800" w:type="dxa"/>
          </w:tcPr>
          <w:p w:rsidR="00172F85" w:rsidRPr="008B0274" w:rsidRDefault="004546C6" w:rsidP="006B3982">
            <w:pPr>
              <w:pStyle w:val="ListParagraph"/>
              <w:ind w:left="0"/>
              <w:jc w:val="center"/>
            </w:pPr>
            <w:r w:rsidRPr="008B0274">
              <w:t>200.00</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Kankakee Terrace</w:t>
            </w:r>
          </w:p>
        </w:tc>
        <w:tc>
          <w:tcPr>
            <w:tcW w:w="1713" w:type="dxa"/>
          </w:tcPr>
          <w:p w:rsidR="00172F85" w:rsidRPr="008B0274" w:rsidRDefault="00B17DE5" w:rsidP="006B3982">
            <w:pPr>
              <w:pStyle w:val="ListParagraph"/>
              <w:ind w:left="0"/>
              <w:jc w:val="center"/>
            </w:pPr>
            <w:r w:rsidRPr="008B0274">
              <w:t>146</w:t>
            </w:r>
          </w:p>
        </w:tc>
        <w:tc>
          <w:tcPr>
            <w:tcW w:w="1620" w:type="dxa"/>
          </w:tcPr>
          <w:p w:rsidR="00172F85" w:rsidRPr="008B0274" w:rsidRDefault="004546C6" w:rsidP="006B3982">
            <w:pPr>
              <w:pStyle w:val="ListParagraph"/>
              <w:ind w:left="0"/>
              <w:jc w:val="center"/>
            </w:pPr>
            <w:r w:rsidRPr="008B0274">
              <w:t>343</w:t>
            </w:r>
          </w:p>
        </w:tc>
        <w:tc>
          <w:tcPr>
            <w:tcW w:w="1800" w:type="dxa"/>
          </w:tcPr>
          <w:p w:rsidR="00172F85" w:rsidRPr="008B0274" w:rsidRDefault="004546C6" w:rsidP="006B3982">
            <w:pPr>
              <w:pStyle w:val="ListParagraph"/>
              <w:ind w:left="0"/>
              <w:jc w:val="center"/>
            </w:pPr>
            <w:r w:rsidRPr="008B0274">
              <w:t>234.93</w:t>
            </w:r>
          </w:p>
        </w:tc>
      </w:tr>
      <w:tr w:rsidR="00172F85" w:rsidRPr="00D80F00" w:rsidTr="005C7450">
        <w:tc>
          <w:tcPr>
            <w:tcW w:w="3417" w:type="dxa"/>
          </w:tcPr>
          <w:p w:rsidR="00172F85" w:rsidRPr="008B0274" w:rsidRDefault="00172F85" w:rsidP="006B3982">
            <w:pPr>
              <w:pStyle w:val="ListParagraph"/>
              <w:ind w:left="0"/>
              <w:rPr>
                <w:rFonts w:eastAsia="Times New Roman" w:cs="Times New Roman"/>
                <w:color w:val="000000"/>
              </w:rPr>
            </w:pPr>
            <w:r w:rsidRPr="008B0274">
              <w:rPr>
                <w:rFonts w:eastAsia="Times New Roman" w:cs="Times New Roman"/>
                <w:color w:val="000000"/>
              </w:rPr>
              <w:t>Lake Park Center</w:t>
            </w:r>
          </w:p>
        </w:tc>
        <w:tc>
          <w:tcPr>
            <w:tcW w:w="1713" w:type="dxa"/>
          </w:tcPr>
          <w:p w:rsidR="00172F85" w:rsidRPr="008B0274" w:rsidRDefault="00B17DE5" w:rsidP="006B3982">
            <w:pPr>
              <w:pStyle w:val="ListParagraph"/>
              <w:ind w:left="0"/>
              <w:jc w:val="center"/>
            </w:pPr>
            <w:r w:rsidRPr="008B0274">
              <w:t>205</w:t>
            </w:r>
          </w:p>
        </w:tc>
        <w:tc>
          <w:tcPr>
            <w:tcW w:w="1620" w:type="dxa"/>
          </w:tcPr>
          <w:p w:rsidR="00172F85" w:rsidRPr="008B0274" w:rsidRDefault="004546C6" w:rsidP="006B3982">
            <w:pPr>
              <w:pStyle w:val="ListParagraph"/>
              <w:ind w:left="0"/>
              <w:jc w:val="center"/>
            </w:pPr>
            <w:r w:rsidRPr="008B0274">
              <w:t>274</w:t>
            </w:r>
          </w:p>
        </w:tc>
        <w:tc>
          <w:tcPr>
            <w:tcW w:w="1800" w:type="dxa"/>
          </w:tcPr>
          <w:p w:rsidR="00172F85" w:rsidRPr="008B0274" w:rsidRDefault="004546C6" w:rsidP="006B3982">
            <w:pPr>
              <w:pStyle w:val="ListParagraph"/>
              <w:ind w:left="0"/>
              <w:jc w:val="center"/>
            </w:pPr>
            <w:r w:rsidRPr="008B0274">
              <w:t>133.66</w:t>
            </w:r>
          </w:p>
        </w:tc>
      </w:tr>
      <w:tr w:rsidR="00172F85" w:rsidRPr="00D80F00" w:rsidTr="005C7450">
        <w:tc>
          <w:tcPr>
            <w:tcW w:w="3417" w:type="dxa"/>
          </w:tcPr>
          <w:p w:rsidR="00172F85"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Lydia Healthcare Center</w:t>
            </w:r>
          </w:p>
        </w:tc>
        <w:tc>
          <w:tcPr>
            <w:tcW w:w="1713" w:type="dxa"/>
          </w:tcPr>
          <w:p w:rsidR="00172F85" w:rsidRPr="008B0274" w:rsidRDefault="004546C6" w:rsidP="006B3982">
            <w:pPr>
              <w:pStyle w:val="ListParagraph"/>
              <w:ind w:left="0"/>
              <w:jc w:val="center"/>
            </w:pPr>
            <w:r w:rsidRPr="008B0274">
              <w:t>412</w:t>
            </w:r>
          </w:p>
        </w:tc>
        <w:tc>
          <w:tcPr>
            <w:tcW w:w="1620" w:type="dxa"/>
          </w:tcPr>
          <w:p w:rsidR="00172F85" w:rsidRPr="008B0274" w:rsidRDefault="004546C6" w:rsidP="006B3982">
            <w:pPr>
              <w:pStyle w:val="ListParagraph"/>
              <w:ind w:left="0"/>
              <w:jc w:val="center"/>
            </w:pPr>
            <w:r w:rsidRPr="008B0274">
              <w:t>767</w:t>
            </w:r>
          </w:p>
        </w:tc>
        <w:tc>
          <w:tcPr>
            <w:tcW w:w="1800" w:type="dxa"/>
          </w:tcPr>
          <w:p w:rsidR="00172F85" w:rsidRPr="008B0274" w:rsidRDefault="004546C6" w:rsidP="006B3982">
            <w:pPr>
              <w:pStyle w:val="ListParagraph"/>
              <w:ind w:left="0"/>
              <w:jc w:val="center"/>
            </w:pPr>
            <w:r w:rsidRPr="008B0274">
              <w:t>186.17</w:t>
            </w:r>
          </w:p>
        </w:tc>
      </w:tr>
      <w:tr w:rsidR="00172F85" w:rsidRPr="00D80F00" w:rsidTr="005C7450">
        <w:tc>
          <w:tcPr>
            <w:tcW w:w="3417" w:type="dxa"/>
          </w:tcPr>
          <w:p w:rsidR="00172F85"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Margaret Manor Central</w:t>
            </w:r>
          </w:p>
        </w:tc>
        <w:tc>
          <w:tcPr>
            <w:tcW w:w="1713" w:type="dxa"/>
          </w:tcPr>
          <w:p w:rsidR="00172F85" w:rsidRPr="008B0274" w:rsidRDefault="00B17DE5" w:rsidP="006B3982">
            <w:pPr>
              <w:pStyle w:val="ListParagraph"/>
              <w:ind w:left="0"/>
              <w:jc w:val="center"/>
            </w:pPr>
            <w:r w:rsidRPr="008B0274">
              <w:t>125</w:t>
            </w:r>
          </w:p>
        </w:tc>
        <w:tc>
          <w:tcPr>
            <w:tcW w:w="1620" w:type="dxa"/>
          </w:tcPr>
          <w:p w:rsidR="00172F85" w:rsidRPr="008B0274" w:rsidRDefault="004546C6" w:rsidP="006B3982">
            <w:pPr>
              <w:pStyle w:val="ListParagraph"/>
              <w:ind w:left="0"/>
              <w:jc w:val="center"/>
            </w:pPr>
            <w:r w:rsidRPr="008B0274">
              <w:t>222</w:t>
            </w:r>
          </w:p>
        </w:tc>
        <w:tc>
          <w:tcPr>
            <w:tcW w:w="1800" w:type="dxa"/>
          </w:tcPr>
          <w:p w:rsidR="00172F85" w:rsidRPr="008B0274" w:rsidRDefault="004546C6" w:rsidP="006B3982">
            <w:pPr>
              <w:pStyle w:val="ListParagraph"/>
              <w:ind w:left="0"/>
              <w:jc w:val="center"/>
            </w:pPr>
            <w:r w:rsidRPr="008B0274">
              <w:t>177.60</w:t>
            </w:r>
          </w:p>
        </w:tc>
      </w:tr>
      <w:tr w:rsidR="00172F85" w:rsidRPr="00D80F00" w:rsidTr="005C7450">
        <w:tc>
          <w:tcPr>
            <w:tcW w:w="3417" w:type="dxa"/>
          </w:tcPr>
          <w:p w:rsidR="00172F85"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Margaret Manor North</w:t>
            </w:r>
          </w:p>
        </w:tc>
        <w:tc>
          <w:tcPr>
            <w:tcW w:w="1713" w:type="dxa"/>
          </w:tcPr>
          <w:p w:rsidR="00172F85" w:rsidRPr="008B0274" w:rsidRDefault="00B17DE5" w:rsidP="006B3982">
            <w:pPr>
              <w:pStyle w:val="ListParagraph"/>
              <w:ind w:left="0"/>
              <w:jc w:val="center"/>
            </w:pPr>
            <w:r w:rsidRPr="008B0274">
              <w:t>94</w:t>
            </w:r>
          </w:p>
        </w:tc>
        <w:tc>
          <w:tcPr>
            <w:tcW w:w="1620" w:type="dxa"/>
          </w:tcPr>
          <w:p w:rsidR="00172F85" w:rsidRPr="008B0274" w:rsidRDefault="004546C6" w:rsidP="006B3982">
            <w:pPr>
              <w:pStyle w:val="ListParagraph"/>
              <w:ind w:left="0"/>
              <w:jc w:val="center"/>
            </w:pPr>
            <w:r w:rsidRPr="008B0274">
              <w:t>264</w:t>
            </w:r>
          </w:p>
        </w:tc>
        <w:tc>
          <w:tcPr>
            <w:tcW w:w="1800" w:type="dxa"/>
          </w:tcPr>
          <w:p w:rsidR="00172F85" w:rsidRPr="008B0274" w:rsidRDefault="004546C6" w:rsidP="006B3982">
            <w:pPr>
              <w:pStyle w:val="ListParagraph"/>
              <w:ind w:left="0"/>
              <w:jc w:val="center"/>
            </w:pPr>
            <w:r w:rsidRPr="008B0274">
              <w:t>280.85</w:t>
            </w:r>
          </w:p>
        </w:tc>
      </w:tr>
      <w:tr w:rsidR="00172F85" w:rsidRPr="00D80F00" w:rsidTr="005C7450">
        <w:tc>
          <w:tcPr>
            <w:tcW w:w="3417" w:type="dxa"/>
          </w:tcPr>
          <w:p w:rsidR="00172F85"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Monroe Pavilion Health Center</w:t>
            </w:r>
          </w:p>
        </w:tc>
        <w:tc>
          <w:tcPr>
            <w:tcW w:w="1713" w:type="dxa"/>
          </w:tcPr>
          <w:p w:rsidR="00172F85" w:rsidRPr="008B0274" w:rsidRDefault="00B17DE5" w:rsidP="006B3982">
            <w:pPr>
              <w:pStyle w:val="ListParagraph"/>
              <w:ind w:left="0"/>
              <w:jc w:val="center"/>
            </w:pPr>
            <w:r w:rsidRPr="008B0274">
              <w:t>136</w:t>
            </w:r>
          </w:p>
        </w:tc>
        <w:tc>
          <w:tcPr>
            <w:tcW w:w="1620" w:type="dxa"/>
          </w:tcPr>
          <w:p w:rsidR="00172F85" w:rsidRPr="008B0274" w:rsidRDefault="004546C6" w:rsidP="006B3982">
            <w:pPr>
              <w:pStyle w:val="ListParagraph"/>
              <w:ind w:left="0"/>
              <w:jc w:val="center"/>
            </w:pPr>
            <w:r w:rsidRPr="008B0274">
              <w:t>270</w:t>
            </w:r>
          </w:p>
        </w:tc>
        <w:tc>
          <w:tcPr>
            <w:tcW w:w="1800" w:type="dxa"/>
          </w:tcPr>
          <w:p w:rsidR="00172F85" w:rsidRPr="008B0274" w:rsidRDefault="004546C6" w:rsidP="006B3982">
            <w:pPr>
              <w:pStyle w:val="ListParagraph"/>
              <w:ind w:left="0"/>
              <w:jc w:val="center"/>
            </w:pPr>
            <w:r w:rsidRPr="008B0274">
              <w:t>198.53</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Pershing Estates</w:t>
            </w:r>
          </w:p>
        </w:tc>
        <w:tc>
          <w:tcPr>
            <w:tcW w:w="1713" w:type="dxa"/>
          </w:tcPr>
          <w:p w:rsidR="006B3982" w:rsidRPr="008B0274" w:rsidRDefault="00B17DE5" w:rsidP="006B3982">
            <w:pPr>
              <w:pStyle w:val="ListParagraph"/>
              <w:ind w:left="0"/>
              <w:jc w:val="center"/>
            </w:pPr>
            <w:r w:rsidRPr="008B0274">
              <w:t>134</w:t>
            </w:r>
          </w:p>
        </w:tc>
        <w:tc>
          <w:tcPr>
            <w:tcW w:w="1620" w:type="dxa"/>
          </w:tcPr>
          <w:p w:rsidR="006B3982" w:rsidRPr="008B0274" w:rsidRDefault="004546C6" w:rsidP="006B3982">
            <w:pPr>
              <w:pStyle w:val="ListParagraph"/>
              <w:ind w:left="0"/>
              <w:jc w:val="center"/>
            </w:pPr>
            <w:r w:rsidRPr="008B0274">
              <w:t>258</w:t>
            </w:r>
          </w:p>
        </w:tc>
        <w:tc>
          <w:tcPr>
            <w:tcW w:w="1800" w:type="dxa"/>
          </w:tcPr>
          <w:p w:rsidR="006B3982" w:rsidRPr="008B0274" w:rsidRDefault="004546C6" w:rsidP="006B3982">
            <w:pPr>
              <w:pStyle w:val="ListParagraph"/>
              <w:ind w:left="0"/>
              <w:jc w:val="center"/>
            </w:pPr>
            <w:r w:rsidRPr="008B0274">
              <w:t>192.54</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Rainbow Beach Nursing Center</w:t>
            </w:r>
          </w:p>
        </w:tc>
        <w:tc>
          <w:tcPr>
            <w:tcW w:w="1713" w:type="dxa"/>
          </w:tcPr>
          <w:p w:rsidR="006B3982" w:rsidRPr="008B0274" w:rsidRDefault="00B17DE5" w:rsidP="006B3982">
            <w:pPr>
              <w:pStyle w:val="ListParagraph"/>
              <w:ind w:left="0"/>
              <w:jc w:val="center"/>
            </w:pPr>
            <w:r w:rsidRPr="008B0274">
              <w:t>211</w:t>
            </w:r>
          </w:p>
        </w:tc>
        <w:tc>
          <w:tcPr>
            <w:tcW w:w="1620" w:type="dxa"/>
          </w:tcPr>
          <w:p w:rsidR="006B3982" w:rsidRPr="008B0274" w:rsidRDefault="004546C6" w:rsidP="006B3982">
            <w:pPr>
              <w:pStyle w:val="ListParagraph"/>
              <w:ind w:left="0"/>
              <w:jc w:val="center"/>
            </w:pPr>
            <w:r w:rsidRPr="008B0274">
              <w:t>486</w:t>
            </w:r>
          </w:p>
        </w:tc>
        <w:tc>
          <w:tcPr>
            <w:tcW w:w="1800" w:type="dxa"/>
          </w:tcPr>
          <w:p w:rsidR="006B3982" w:rsidRPr="008B0274" w:rsidRDefault="004546C6" w:rsidP="006B3982">
            <w:pPr>
              <w:pStyle w:val="ListParagraph"/>
              <w:ind w:left="0"/>
              <w:jc w:val="center"/>
            </w:pPr>
            <w:r w:rsidRPr="008B0274">
              <w:t>230.33</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lastRenderedPageBreak/>
              <w:t>Sacred Heart Home</w:t>
            </w:r>
          </w:p>
        </w:tc>
        <w:tc>
          <w:tcPr>
            <w:tcW w:w="1713" w:type="dxa"/>
          </w:tcPr>
          <w:p w:rsidR="006B3982" w:rsidRPr="008B0274" w:rsidRDefault="00B17DE5" w:rsidP="006B3982">
            <w:pPr>
              <w:pStyle w:val="ListParagraph"/>
              <w:ind w:left="0"/>
              <w:jc w:val="center"/>
            </w:pPr>
            <w:r w:rsidRPr="008B0274">
              <w:t>172</w:t>
            </w:r>
          </w:p>
        </w:tc>
        <w:tc>
          <w:tcPr>
            <w:tcW w:w="1620" w:type="dxa"/>
          </w:tcPr>
          <w:p w:rsidR="006B3982" w:rsidRPr="008B0274" w:rsidRDefault="004546C6" w:rsidP="006B3982">
            <w:pPr>
              <w:pStyle w:val="ListParagraph"/>
              <w:ind w:left="0"/>
              <w:jc w:val="center"/>
            </w:pPr>
            <w:r w:rsidRPr="008B0274">
              <w:t>357</w:t>
            </w:r>
          </w:p>
        </w:tc>
        <w:tc>
          <w:tcPr>
            <w:tcW w:w="1800" w:type="dxa"/>
          </w:tcPr>
          <w:p w:rsidR="006B3982" w:rsidRPr="008B0274" w:rsidRDefault="004546C6" w:rsidP="006B3982">
            <w:pPr>
              <w:pStyle w:val="ListParagraph"/>
              <w:ind w:left="0"/>
              <w:jc w:val="center"/>
            </w:pPr>
            <w:r w:rsidRPr="008B0274">
              <w:t>207.56</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Sharon Health Care Woods</w:t>
            </w:r>
          </w:p>
        </w:tc>
        <w:tc>
          <w:tcPr>
            <w:tcW w:w="1713" w:type="dxa"/>
          </w:tcPr>
          <w:p w:rsidR="006B3982" w:rsidRPr="008B0274" w:rsidRDefault="00B17DE5" w:rsidP="006B3982">
            <w:pPr>
              <w:pStyle w:val="ListParagraph"/>
              <w:ind w:left="0"/>
              <w:jc w:val="center"/>
            </w:pPr>
            <w:r w:rsidRPr="008B0274">
              <w:t>152</w:t>
            </w:r>
          </w:p>
        </w:tc>
        <w:tc>
          <w:tcPr>
            <w:tcW w:w="1620" w:type="dxa"/>
          </w:tcPr>
          <w:p w:rsidR="006B3982" w:rsidRPr="008B0274" w:rsidRDefault="004546C6" w:rsidP="006B3982">
            <w:pPr>
              <w:pStyle w:val="ListParagraph"/>
              <w:ind w:left="0"/>
              <w:jc w:val="center"/>
            </w:pPr>
            <w:r w:rsidRPr="008B0274">
              <w:t>253</w:t>
            </w:r>
          </w:p>
        </w:tc>
        <w:tc>
          <w:tcPr>
            <w:tcW w:w="1800" w:type="dxa"/>
          </w:tcPr>
          <w:p w:rsidR="006B3982" w:rsidRPr="008B0274" w:rsidRDefault="004546C6" w:rsidP="006B3982">
            <w:pPr>
              <w:pStyle w:val="ListParagraph"/>
              <w:ind w:left="0"/>
              <w:jc w:val="center"/>
            </w:pPr>
            <w:r w:rsidRPr="008B0274">
              <w:t>166.45</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Skokie Meadows Nursing Center</w:t>
            </w:r>
          </w:p>
        </w:tc>
        <w:tc>
          <w:tcPr>
            <w:tcW w:w="1713" w:type="dxa"/>
          </w:tcPr>
          <w:p w:rsidR="006B3982" w:rsidRPr="008B0274" w:rsidRDefault="00B17DE5" w:rsidP="006B3982">
            <w:pPr>
              <w:pStyle w:val="ListParagraph"/>
              <w:ind w:left="0"/>
              <w:jc w:val="center"/>
            </w:pPr>
            <w:r w:rsidRPr="008B0274">
              <w:t>111</w:t>
            </w:r>
          </w:p>
        </w:tc>
        <w:tc>
          <w:tcPr>
            <w:tcW w:w="1620" w:type="dxa"/>
          </w:tcPr>
          <w:p w:rsidR="006B3982" w:rsidRPr="008B0274" w:rsidRDefault="004546C6" w:rsidP="006B3982">
            <w:pPr>
              <w:pStyle w:val="ListParagraph"/>
              <w:ind w:left="0"/>
              <w:jc w:val="center"/>
            </w:pPr>
            <w:r w:rsidRPr="008B0274">
              <w:t>146</w:t>
            </w:r>
          </w:p>
        </w:tc>
        <w:tc>
          <w:tcPr>
            <w:tcW w:w="1800" w:type="dxa"/>
          </w:tcPr>
          <w:p w:rsidR="006B3982" w:rsidRPr="008B0274" w:rsidRDefault="004546C6" w:rsidP="006B3982">
            <w:pPr>
              <w:pStyle w:val="ListParagraph"/>
              <w:ind w:left="0"/>
              <w:jc w:val="center"/>
            </w:pPr>
            <w:r w:rsidRPr="008B0274">
              <w:t>131.53</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Thornton Heights Terrace</w:t>
            </w:r>
          </w:p>
        </w:tc>
        <w:tc>
          <w:tcPr>
            <w:tcW w:w="1713" w:type="dxa"/>
          </w:tcPr>
          <w:p w:rsidR="006B3982" w:rsidRPr="008B0274" w:rsidRDefault="00B17DE5" w:rsidP="006B3982">
            <w:pPr>
              <w:pStyle w:val="ListParagraph"/>
              <w:ind w:left="0"/>
              <w:jc w:val="center"/>
            </w:pPr>
            <w:r w:rsidRPr="008B0274">
              <w:t>220</w:t>
            </w:r>
          </w:p>
        </w:tc>
        <w:tc>
          <w:tcPr>
            <w:tcW w:w="1620" w:type="dxa"/>
          </w:tcPr>
          <w:p w:rsidR="006B3982" w:rsidRPr="008B0274" w:rsidRDefault="004546C6" w:rsidP="006B3982">
            <w:pPr>
              <w:pStyle w:val="ListParagraph"/>
              <w:ind w:left="0"/>
              <w:jc w:val="center"/>
            </w:pPr>
            <w:r w:rsidRPr="008B0274">
              <w:t>358</w:t>
            </w:r>
          </w:p>
        </w:tc>
        <w:tc>
          <w:tcPr>
            <w:tcW w:w="1800" w:type="dxa"/>
          </w:tcPr>
          <w:p w:rsidR="006B3982" w:rsidRPr="008B0274" w:rsidRDefault="004546C6" w:rsidP="006B3982">
            <w:pPr>
              <w:pStyle w:val="ListParagraph"/>
              <w:ind w:left="0"/>
              <w:jc w:val="center"/>
            </w:pPr>
            <w:r w:rsidRPr="008B0274">
              <w:t>162.73</w:t>
            </w:r>
          </w:p>
        </w:tc>
      </w:tr>
      <w:tr w:rsidR="006B3982" w:rsidRPr="00D80F00" w:rsidTr="005C7450">
        <w:tc>
          <w:tcPr>
            <w:tcW w:w="3417" w:type="dxa"/>
          </w:tcPr>
          <w:p w:rsidR="006B3982" w:rsidRPr="008B0274" w:rsidRDefault="006B3982" w:rsidP="006B3982">
            <w:pPr>
              <w:pStyle w:val="ListParagraph"/>
              <w:ind w:left="0"/>
              <w:rPr>
                <w:rFonts w:eastAsia="Times New Roman" w:cs="Times New Roman"/>
                <w:color w:val="000000"/>
              </w:rPr>
            </w:pPr>
            <w:r w:rsidRPr="008B0274">
              <w:rPr>
                <w:rFonts w:eastAsia="Times New Roman" w:cs="Times New Roman"/>
                <w:color w:val="000000"/>
              </w:rPr>
              <w:t>Wilson Care</w:t>
            </w:r>
          </w:p>
        </w:tc>
        <w:tc>
          <w:tcPr>
            <w:tcW w:w="1713" w:type="dxa"/>
          </w:tcPr>
          <w:p w:rsidR="006B3982" w:rsidRPr="008B0274" w:rsidRDefault="00B17DE5" w:rsidP="006B3982">
            <w:pPr>
              <w:pStyle w:val="ListParagraph"/>
              <w:ind w:left="0"/>
              <w:jc w:val="center"/>
            </w:pPr>
            <w:r w:rsidRPr="008B0274">
              <w:t>186</w:t>
            </w:r>
          </w:p>
        </w:tc>
        <w:tc>
          <w:tcPr>
            <w:tcW w:w="1620" w:type="dxa"/>
          </w:tcPr>
          <w:p w:rsidR="006B3982" w:rsidRPr="008B0274" w:rsidRDefault="004546C6" w:rsidP="006B3982">
            <w:pPr>
              <w:pStyle w:val="ListParagraph"/>
              <w:ind w:left="0"/>
              <w:jc w:val="center"/>
            </w:pPr>
            <w:r w:rsidRPr="008B0274">
              <w:t>448</w:t>
            </w:r>
          </w:p>
        </w:tc>
        <w:tc>
          <w:tcPr>
            <w:tcW w:w="1800" w:type="dxa"/>
          </w:tcPr>
          <w:p w:rsidR="006B3982" w:rsidRPr="008B0274" w:rsidRDefault="004546C6" w:rsidP="006B3982">
            <w:pPr>
              <w:pStyle w:val="ListParagraph"/>
              <w:ind w:left="0"/>
              <w:jc w:val="center"/>
            </w:pPr>
            <w:r w:rsidRPr="008B0274">
              <w:t>240.86</w:t>
            </w:r>
          </w:p>
        </w:tc>
      </w:tr>
      <w:tr w:rsidR="00B17DE5" w:rsidTr="005C7450">
        <w:tc>
          <w:tcPr>
            <w:tcW w:w="3417" w:type="dxa"/>
          </w:tcPr>
          <w:p w:rsidR="00B17DE5" w:rsidRPr="008B0274" w:rsidRDefault="00B17DE5" w:rsidP="00B17DE5">
            <w:pPr>
              <w:pStyle w:val="ListParagraph"/>
              <w:ind w:left="0"/>
              <w:jc w:val="center"/>
              <w:rPr>
                <w:rFonts w:eastAsia="Times New Roman" w:cs="Times New Roman"/>
                <w:color w:val="000000"/>
              </w:rPr>
            </w:pPr>
            <w:r w:rsidRPr="008B0274">
              <w:rPr>
                <w:rFonts w:eastAsia="Times New Roman" w:cs="Times New Roman"/>
                <w:color w:val="000000"/>
              </w:rPr>
              <w:t>Total</w:t>
            </w:r>
          </w:p>
        </w:tc>
        <w:tc>
          <w:tcPr>
            <w:tcW w:w="1713" w:type="dxa"/>
          </w:tcPr>
          <w:p w:rsidR="00B17DE5" w:rsidRPr="008B0274" w:rsidRDefault="00B17DE5" w:rsidP="006B3982">
            <w:pPr>
              <w:pStyle w:val="ListParagraph"/>
              <w:ind w:left="0"/>
              <w:jc w:val="center"/>
            </w:pPr>
            <w:r w:rsidRPr="008B0274">
              <w:t>4295</w:t>
            </w:r>
          </w:p>
        </w:tc>
        <w:tc>
          <w:tcPr>
            <w:tcW w:w="1620" w:type="dxa"/>
          </w:tcPr>
          <w:p w:rsidR="00B17DE5" w:rsidRPr="008B0274" w:rsidRDefault="004546C6" w:rsidP="006B3982">
            <w:pPr>
              <w:pStyle w:val="ListParagraph"/>
              <w:ind w:left="0"/>
              <w:jc w:val="center"/>
            </w:pPr>
            <w:r w:rsidRPr="008B0274">
              <w:t>7955</w:t>
            </w:r>
          </w:p>
        </w:tc>
        <w:tc>
          <w:tcPr>
            <w:tcW w:w="1800" w:type="dxa"/>
          </w:tcPr>
          <w:p w:rsidR="00B17DE5" w:rsidRPr="008B0274" w:rsidRDefault="004546C6" w:rsidP="006B3982">
            <w:pPr>
              <w:pStyle w:val="ListParagraph"/>
              <w:ind w:left="0"/>
              <w:jc w:val="center"/>
            </w:pPr>
            <w:r w:rsidRPr="008B0274">
              <w:t>185.22</w:t>
            </w:r>
          </w:p>
        </w:tc>
      </w:tr>
    </w:tbl>
    <w:p w:rsidR="00172F85" w:rsidRDefault="00172F85" w:rsidP="006B3982">
      <w:pPr>
        <w:pStyle w:val="ListParagraph"/>
        <w:ind w:left="0"/>
        <w:jc w:val="center"/>
        <w:rPr>
          <w:b/>
        </w:rPr>
      </w:pPr>
    </w:p>
    <w:p w:rsidR="00D27B0E" w:rsidRPr="00D27B0E" w:rsidRDefault="00D27B0E" w:rsidP="00C11AC2">
      <w:pPr>
        <w:spacing w:after="0"/>
        <w:rPr>
          <w:b/>
          <w:u w:val="single"/>
        </w:rPr>
      </w:pPr>
      <w:r w:rsidRPr="00D27B0E">
        <w:rPr>
          <w:b/>
          <w:u w:val="single"/>
        </w:rPr>
        <w:t xml:space="preserve">Williams Focus </w:t>
      </w:r>
      <w:r w:rsidR="004167A5" w:rsidRPr="00D27B0E">
        <w:rPr>
          <w:b/>
          <w:u w:val="single"/>
        </w:rPr>
        <w:t>Forum,</w:t>
      </w:r>
      <w:r w:rsidRPr="00D27B0E">
        <w:rPr>
          <w:b/>
          <w:u w:val="single"/>
        </w:rPr>
        <w:t xml:space="preserve"> Cook and Lake County</w:t>
      </w:r>
    </w:p>
    <w:p w:rsidR="00D27B0E" w:rsidRDefault="00D27B0E" w:rsidP="00C11AC2">
      <w:pPr>
        <w:spacing w:after="0"/>
        <w:jc w:val="center"/>
      </w:pPr>
    </w:p>
    <w:p w:rsidR="00D27B0E" w:rsidRDefault="00D27B0E" w:rsidP="00C11AC2">
      <w:pPr>
        <w:spacing w:after="0"/>
      </w:pPr>
      <w:r>
        <w:t xml:space="preserve">Williams Class Members who </w:t>
      </w:r>
      <w:r w:rsidR="00672DE9">
        <w:t xml:space="preserve">transitioned </w:t>
      </w:r>
      <w:r>
        <w:t>were asked to participate in a focus group on December 16 or 17, 2014 at Malcolm X College in Chicago.    Other attendees included DMH employees, Outreach and Transition agency employees and Williams Quality Monitors.</w:t>
      </w:r>
      <w:r w:rsidRPr="00E7097A">
        <w:t xml:space="preserve"> </w:t>
      </w:r>
      <w:r>
        <w:t>The college was selected in order to provide a safe and judgment-free environment for Class Members to speak openly and honestly about their experiences in transitioning to the community and suggestions for improving the experience for those still living in the IMDs and others who have already transitioned.  Class members were given a $10 Walgreens gift card for their participation.</w:t>
      </w:r>
    </w:p>
    <w:p w:rsidR="00D27B0E" w:rsidRDefault="00D27B0E" w:rsidP="00C11AC2">
      <w:pPr>
        <w:spacing w:after="0"/>
      </w:pPr>
    </w:p>
    <w:p w:rsidR="00D27B0E" w:rsidRDefault="00D27B0E" w:rsidP="00C11AC2">
      <w:pPr>
        <w:pStyle w:val="ListParagraph"/>
        <w:spacing w:after="0"/>
        <w:ind w:left="0"/>
        <w:rPr>
          <w:rFonts w:cs="Times New Roman"/>
          <w:color w:val="222222"/>
          <w:shd w:val="clear" w:color="auto" w:fill="FFFFFF"/>
        </w:rPr>
      </w:pPr>
      <w:r>
        <w:t>Twenty three Class Members were randomly selected and were sent a personal invitation to attend the focus forum.  Eleven persons (6 female, 5 male) attended on day one and twelve (3 female, 9 male)</w:t>
      </w:r>
      <w:r w:rsidRPr="00332D41">
        <w:t xml:space="preserve"> on day two.  The meetings were held from 10:00 am to 1:00 pm and included a working lunch provided by DMH.  </w:t>
      </w:r>
      <w:r w:rsidRPr="00332D41">
        <w:rPr>
          <w:rFonts w:cs="Times New Roman"/>
          <w:color w:val="222222"/>
          <w:shd w:val="clear" w:color="auto" w:fill="FFFFFF"/>
        </w:rPr>
        <w:t xml:space="preserve">Juan Pablo Rivera </w:t>
      </w:r>
      <w:r>
        <w:rPr>
          <w:rFonts w:cs="Times New Roman"/>
          <w:color w:val="222222"/>
          <w:shd w:val="clear" w:color="auto" w:fill="FFFFFF"/>
        </w:rPr>
        <w:t xml:space="preserve">facilitated the first forum </w:t>
      </w:r>
      <w:r w:rsidRPr="00332D41">
        <w:rPr>
          <w:rFonts w:cs="Times New Roman"/>
          <w:color w:val="222222"/>
          <w:shd w:val="clear" w:color="auto" w:fill="FFFFFF"/>
        </w:rPr>
        <w:t xml:space="preserve">and Luberta Conner-Livingston facilitated the </w:t>
      </w:r>
      <w:r>
        <w:rPr>
          <w:rFonts w:cs="Times New Roman"/>
          <w:color w:val="222222"/>
          <w:shd w:val="clear" w:color="auto" w:fill="FFFFFF"/>
        </w:rPr>
        <w:t>second</w:t>
      </w:r>
      <w:r w:rsidRPr="00332D41">
        <w:rPr>
          <w:rFonts w:cs="Times New Roman"/>
          <w:color w:val="222222"/>
          <w:shd w:val="clear" w:color="auto" w:fill="FFFFFF"/>
        </w:rPr>
        <w:t xml:space="preserve">.  Juan and Luberta are </w:t>
      </w:r>
      <w:r>
        <w:rPr>
          <w:rFonts w:cs="Times New Roman"/>
          <w:color w:val="222222"/>
          <w:shd w:val="clear" w:color="auto" w:fill="FFFFFF"/>
        </w:rPr>
        <w:t xml:space="preserve">both </w:t>
      </w:r>
      <w:r w:rsidRPr="00332D41">
        <w:rPr>
          <w:rFonts w:cs="Times New Roman"/>
          <w:color w:val="222222"/>
          <w:shd w:val="clear" w:color="auto" w:fill="FFFFFF"/>
        </w:rPr>
        <w:t>CRSS and WRAP</w:t>
      </w:r>
      <w:r>
        <w:rPr>
          <w:rFonts w:cs="Times New Roman"/>
          <w:color w:val="222222"/>
          <w:shd w:val="clear" w:color="auto" w:fill="FFFFFF"/>
        </w:rPr>
        <w:t xml:space="preserve"> certified and have facilitated focus forums on previous occasions.</w:t>
      </w:r>
    </w:p>
    <w:p w:rsidR="00D27B0E" w:rsidRDefault="00D27B0E" w:rsidP="00C11AC2">
      <w:pPr>
        <w:pStyle w:val="ListParagraph"/>
        <w:spacing w:after="0"/>
        <w:ind w:left="0"/>
        <w:rPr>
          <w:rFonts w:cs="Times New Roman"/>
          <w:color w:val="222222"/>
          <w:shd w:val="clear" w:color="auto" w:fill="FFFFFF"/>
        </w:rPr>
      </w:pPr>
    </w:p>
    <w:p w:rsidR="00D27B0E" w:rsidRDefault="00D27B0E" w:rsidP="00C11AC2">
      <w:pPr>
        <w:spacing w:after="0"/>
        <w:rPr>
          <w:rFonts w:cs="Times New Roman"/>
          <w:color w:val="222222"/>
          <w:shd w:val="clear" w:color="auto" w:fill="FFFFFF"/>
        </w:rPr>
      </w:pPr>
      <w:r>
        <w:rPr>
          <w:rFonts w:cs="Times New Roman"/>
          <w:color w:val="222222"/>
          <w:shd w:val="clear" w:color="auto" w:fill="FFFFFF"/>
        </w:rPr>
        <w:t>The questions asked in the focus forums were compiled from suggestions received from the Williams Quality Administrators, DMH staff and the steering committee.  The same format was used on both days.  Every Class Member participated in the discussions</w:t>
      </w:r>
      <w:r w:rsidR="00DA1DEE">
        <w:rPr>
          <w:rFonts w:cs="Times New Roman"/>
          <w:color w:val="222222"/>
          <w:shd w:val="clear" w:color="auto" w:fill="FFFFFF"/>
        </w:rPr>
        <w:t>,</w:t>
      </w:r>
      <w:r>
        <w:rPr>
          <w:rFonts w:cs="Times New Roman"/>
          <w:color w:val="222222"/>
          <w:shd w:val="clear" w:color="auto" w:fill="FFFFFF"/>
        </w:rPr>
        <w:t xml:space="preserve"> however some were more vocal than others. </w:t>
      </w:r>
    </w:p>
    <w:p w:rsidR="00D27B0E" w:rsidRDefault="00D27B0E" w:rsidP="00C11AC2">
      <w:pPr>
        <w:spacing w:after="0"/>
        <w:rPr>
          <w:rFonts w:cs="Times New Roman"/>
        </w:rPr>
      </w:pPr>
      <w:r>
        <w:rPr>
          <w:rFonts w:cs="Times New Roman"/>
          <w:color w:val="222222"/>
          <w:shd w:val="clear" w:color="auto" w:fill="FFFFFF"/>
        </w:rPr>
        <w:t>The discussions were lively and interactive. There were several reoccurring themes which included the need for</w:t>
      </w:r>
      <w:r w:rsidRPr="00DB72BF">
        <w:rPr>
          <w:rFonts w:cs="Times New Roman"/>
        </w:rPr>
        <w:t xml:space="preserve"> the IMDs to better prepare people for community living</w:t>
      </w:r>
      <w:r>
        <w:rPr>
          <w:rFonts w:cs="Times New Roman"/>
        </w:rPr>
        <w:t xml:space="preserve">; </w:t>
      </w:r>
      <w:r w:rsidR="00DA1DEE">
        <w:rPr>
          <w:rFonts w:cs="Times New Roman"/>
        </w:rPr>
        <w:t>encouraging</w:t>
      </w:r>
      <w:r w:rsidRPr="00DB72BF">
        <w:rPr>
          <w:rFonts w:cs="Times New Roman"/>
        </w:rPr>
        <w:t xml:space="preserve"> Class Members to be more independent and to learn and practice some of the skills they will need on a daily basis </w:t>
      </w:r>
      <w:r w:rsidR="00DA1DEE">
        <w:rPr>
          <w:rFonts w:cs="Times New Roman"/>
        </w:rPr>
        <w:t>once</w:t>
      </w:r>
      <w:r w:rsidR="00DA1DEE" w:rsidRPr="00DB72BF">
        <w:rPr>
          <w:rFonts w:cs="Times New Roman"/>
        </w:rPr>
        <w:t xml:space="preserve"> </w:t>
      </w:r>
      <w:r w:rsidRPr="00DB72BF">
        <w:rPr>
          <w:rFonts w:cs="Times New Roman"/>
        </w:rPr>
        <w:t>in the community</w:t>
      </w:r>
      <w:r w:rsidR="00DA1DEE">
        <w:rPr>
          <w:rFonts w:cs="Times New Roman"/>
        </w:rPr>
        <w:t xml:space="preserve"> and</w:t>
      </w:r>
      <w:r>
        <w:rPr>
          <w:rFonts w:cs="Times New Roman"/>
        </w:rPr>
        <w:t xml:space="preserve"> </w:t>
      </w:r>
      <w:r w:rsidRPr="00DB72BF">
        <w:rPr>
          <w:rFonts w:cs="Times New Roman"/>
        </w:rPr>
        <w:t xml:space="preserve">the </w:t>
      </w:r>
      <w:r>
        <w:rPr>
          <w:rFonts w:cs="Times New Roman"/>
        </w:rPr>
        <w:t>importance of the Ambassadors</w:t>
      </w:r>
      <w:r w:rsidRPr="00DB72BF">
        <w:rPr>
          <w:rFonts w:cs="Times New Roman"/>
        </w:rPr>
        <w:t xml:space="preserve">.  The participants </w:t>
      </w:r>
      <w:r>
        <w:rPr>
          <w:rFonts w:cs="Times New Roman"/>
        </w:rPr>
        <w:t xml:space="preserve">expressed </w:t>
      </w:r>
      <w:r w:rsidRPr="00DB72BF">
        <w:rPr>
          <w:rFonts w:cs="Times New Roman"/>
        </w:rPr>
        <w:t xml:space="preserve">that having Class Members who have already moved out </w:t>
      </w:r>
      <w:r>
        <w:rPr>
          <w:rFonts w:cs="Times New Roman"/>
        </w:rPr>
        <w:t xml:space="preserve">and </w:t>
      </w:r>
      <w:r w:rsidRPr="00DB72BF">
        <w:rPr>
          <w:rFonts w:cs="Times New Roman"/>
        </w:rPr>
        <w:t>return to the IMDs to talk with people about life in the community is very helpful</w:t>
      </w:r>
      <w:r>
        <w:rPr>
          <w:rFonts w:cs="Times New Roman"/>
        </w:rPr>
        <w:t xml:space="preserve"> to the residents</w:t>
      </w:r>
      <w:r w:rsidRPr="00DB72BF">
        <w:rPr>
          <w:rFonts w:cs="Times New Roman"/>
        </w:rPr>
        <w:t xml:space="preserve">.  </w:t>
      </w:r>
      <w:r>
        <w:rPr>
          <w:rFonts w:cs="Times New Roman"/>
        </w:rPr>
        <w:t xml:space="preserve">It allows them to hear what happens when someone moves into the community from someone who has actually done so.  </w:t>
      </w:r>
    </w:p>
    <w:p w:rsidR="00D27B0E" w:rsidRDefault="00D27B0E" w:rsidP="00C11AC2">
      <w:pPr>
        <w:spacing w:after="0"/>
        <w:rPr>
          <w:rFonts w:cs="Times New Roman"/>
        </w:rPr>
      </w:pPr>
    </w:p>
    <w:p w:rsidR="00672DE9" w:rsidRDefault="00D27B0E" w:rsidP="00C11AC2">
      <w:pPr>
        <w:spacing w:after="0"/>
        <w:rPr>
          <w:rFonts w:cs="Times New Roman"/>
        </w:rPr>
      </w:pPr>
      <w:r>
        <w:rPr>
          <w:rFonts w:cs="Times New Roman"/>
        </w:rPr>
        <w:t xml:space="preserve">When asked what they thought the biggest reason </w:t>
      </w:r>
      <w:r w:rsidR="00672DE9">
        <w:rPr>
          <w:rFonts w:cs="Times New Roman"/>
        </w:rPr>
        <w:t xml:space="preserve">Class Members did </w:t>
      </w:r>
      <w:r>
        <w:rPr>
          <w:rFonts w:cs="Times New Roman"/>
        </w:rPr>
        <w:t>not want to move out of the IMD</w:t>
      </w:r>
      <w:r w:rsidR="00672DE9">
        <w:rPr>
          <w:rFonts w:cs="Times New Roman"/>
        </w:rPr>
        <w:t>s</w:t>
      </w:r>
      <w:r>
        <w:rPr>
          <w:rFonts w:cs="Times New Roman"/>
        </w:rPr>
        <w:t xml:space="preserve"> </w:t>
      </w:r>
      <w:r w:rsidR="00672DE9">
        <w:rPr>
          <w:rFonts w:cs="Times New Roman"/>
        </w:rPr>
        <w:t>the top responses were:</w:t>
      </w:r>
    </w:p>
    <w:p w:rsidR="00672DE9" w:rsidRDefault="00D27B0E" w:rsidP="00672DE9">
      <w:pPr>
        <w:pStyle w:val="ListParagraph"/>
        <w:numPr>
          <w:ilvl w:val="0"/>
          <w:numId w:val="14"/>
        </w:numPr>
        <w:spacing w:after="0"/>
        <w:rPr>
          <w:rFonts w:cs="Times New Roman"/>
        </w:rPr>
      </w:pPr>
      <w:r w:rsidRPr="00672DE9">
        <w:rPr>
          <w:rFonts w:cs="Times New Roman"/>
        </w:rPr>
        <w:t>fear of being lonely</w:t>
      </w:r>
    </w:p>
    <w:p w:rsidR="00672DE9" w:rsidRDefault="00D27B0E" w:rsidP="00672DE9">
      <w:pPr>
        <w:pStyle w:val="ListParagraph"/>
        <w:numPr>
          <w:ilvl w:val="0"/>
          <w:numId w:val="14"/>
        </w:numPr>
        <w:spacing w:after="0"/>
        <w:rPr>
          <w:rFonts w:cs="Times New Roman"/>
        </w:rPr>
      </w:pPr>
      <w:r w:rsidRPr="00672DE9">
        <w:rPr>
          <w:rFonts w:cs="Times New Roman"/>
        </w:rPr>
        <w:t>afraid of relapse</w:t>
      </w:r>
    </w:p>
    <w:p w:rsidR="00672DE9" w:rsidRDefault="00D27B0E" w:rsidP="00672DE9">
      <w:pPr>
        <w:pStyle w:val="ListParagraph"/>
        <w:numPr>
          <w:ilvl w:val="0"/>
          <w:numId w:val="14"/>
        </w:numPr>
        <w:spacing w:after="0"/>
        <w:rPr>
          <w:rFonts w:cs="Times New Roman"/>
        </w:rPr>
      </w:pPr>
      <w:r w:rsidRPr="00672DE9">
        <w:rPr>
          <w:rFonts w:cs="Times New Roman"/>
        </w:rPr>
        <w:t>being used to IMD living.</w:t>
      </w:r>
    </w:p>
    <w:p w:rsidR="00672DE9" w:rsidRDefault="00672DE9" w:rsidP="00672DE9">
      <w:pPr>
        <w:pStyle w:val="ListParagraph"/>
        <w:spacing w:after="0"/>
        <w:rPr>
          <w:rFonts w:cs="Times New Roman"/>
        </w:rPr>
      </w:pPr>
    </w:p>
    <w:p w:rsidR="00672DE9" w:rsidRDefault="00D27B0E" w:rsidP="00420F60">
      <w:pPr>
        <w:pStyle w:val="ListParagraph"/>
        <w:spacing w:after="0"/>
        <w:ind w:left="0"/>
        <w:rPr>
          <w:rFonts w:cs="Times New Roman"/>
        </w:rPr>
      </w:pPr>
      <w:r w:rsidRPr="00672DE9">
        <w:rPr>
          <w:rFonts w:cs="Times New Roman"/>
        </w:rPr>
        <w:lastRenderedPageBreak/>
        <w:t>When asked what could be done to get people interested in moving out of the IMD</w:t>
      </w:r>
      <w:r w:rsidR="00672DE9">
        <w:rPr>
          <w:rFonts w:cs="Times New Roman"/>
        </w:rPr>
        <w:t>s the top responses were to offer more information on:</w:t>
      </w:r>
    </w:p>
    <w:p w:rsidR="00672DE9" w:rsidRDefault="00D27B0E" w:rsidP="00672DE9">
      <w:pPr>
        <w:pStyle w:val="ListParagraph"/>
        <w:numPr>
          <w:ilvl w:val="0"/>
          <w:numId w:val="17"/>
        </w:numPr>
        <w:spacing w:after="0"/>
        <w:rPr>
          <w:rFonts w:cs="Times New Roman"/>
        </w:rPr>
      </w:pPr>
      <w:r w:rsidRPr="00672DE9">
        <w:rPr>
          <w:rFonts w:cs="Times New Roman"/>
        </w:rPr>
        <w:t>money management</w:t>
      </w:r>
    </w:p>
    <w:p w:rsidR="00672DE9" w:rsidRDefault="00D27B0E" w:rsidP="00672DE9">
      <w:pPr>
        <w:pStyle w:val="ListParagraph"/>
        <w:numPr>
          <w:ilvl w:val="0"/>
          <w:numId w:val="17"/>
        </w:numPr>
        <w:spacing w:after="0"/>
        <w:rPr>
          <w:rFonts w:cs="Times New Roman"/>
        </w:rPr>
      </w:pPr>
      <w:r w:rsidRPr="00672DE9">
        <w:rPr>
          <w:rFonts w:cs="Times New Roman"/>
        </w:rPr>
        <w:t>employment</w:t>
      </w:r>
    </w:p>
    <w:p w:rsidR="00672DE9" w:rsidRDefault="00D27B0E" w:rsidP="00672DE9">
      <w:pPr>
        <w:pStyle w:val="ListParagraph"/>
        <w:numPr>
          <w:ilvl w:val="0"/>
          <w:numId w:val="17"/>
        </w:numPr>
        <w:spacing w:after="0"/>
        <w:rPr>
          <w:rFonts w:cs="Times New Roman"/>
        </w:rPr>
      </w:pPr>
      <w:r w:rsidRPr="00672DE9">
        <w:rPr>
          <w:rFonts w:cs="Times New Roman"/>
        </w:rPr>
        <w:t>WRAP</w:t>
      </w:r>
    </w:p>
    <w:p w:rsidR="00672DE9" w:rsidRDefault="00D27B0E" w:rsidP="00672DE9">
      <w:pPr>
        <w:pStyle w:val="ListParagraph"/>
        <w:numPr>
          <w:ilvl w:val="0"/>
          <w:numId w:val="17"/>
        </w:numPr>
        <w:spacing w:after="0"/>
        <w:rPr>
          <w:rFonts w:cs="Times New Roman"/>
        </w:rPr>
      </w:pPr>
      <w:r w:rsidRPr="00672DE9">
        <w:rPr>
          <w:rFonts w:cs="Times New Roman"/>
        </w:rPr>
        <w:t xml:space="preserve">the meaning of independent living </w:t>
      </w:r>
    </w:p>
    <w:p w:rsidR="00672DE9" w:rsidRDefault="00D27B0E" w:rsidP="00672DE9">
      <w:pPr>
        <w:pStyle w:val="ListParagraph"/>
        <w:numPr>
          <w:ilvl w:val="0"/>
          <w:numId w:val="17"/>
        </w:numPr>
        <w:spacing w:after="0"/>
        <w:rPr>
          <w:rFonts w:cs="Times New Roman"/>
        </w:rPr>
      </w:pPr>
      <w:r w:rsidRPr="00672DE9">
        <w:rPr>
          <w:rFonts w:cs="Times New Roman"/>
        </w:rPr>
        <w:t xml:space="preserve">volunteering and socialization among others.  </w:t>
      </w:r>
    </w:p>
    <w:p w:rsidR="00A63755" w:rsidRDefault="00A63755" w:rsidP="00A63755">
      <w:pPr>
        <w:spacing w:after="0"/>
        <w:rPr>
          <w:rFonts w:cs="Times New Roman"/>
        </w:rPr>
      </w:pPr>
    </w:p>
    <w:p w:rsidR="00A63755" w:rsidRDefault="00A63755" w:rsidP="00A63755">
      <w:pPr>
        <w:spacing w:after="0"/>
        <w:rPr>
          <w:rFonts w:cs="Times New Roman"/>
        </w:rPr>
      </w:pPr>
    </w:p>
    <w:p w:rsidR="00A63755" w:rsidRPr="00A63755" w:rsidRDefault="00A63755" w:rsidP="00A63755">
      <w:pPr>
        <w:spacing w:after="0"/>
        <w:rPr>
          <w:rFonts w:cs="Times New Roman"/>
        </w:rPr>
      </w:pPr>
    </w:p>
    <w:p w:rsidR="002E3825" w:rsidRDefault="002E3825" w:rsidP="00152C67">
      <w:pPr>
        <w:spacing w:after="0"/>
        <w:jc w:val="center"/>
        <w:rPr>
          <w:b/>
          <w:sz w:val="24"/>
          <w:szCs w:val="24"/>
        </w:rPr>
      </w:pPr>
    </w:p>
    <w:p w:rsidR="00152C67" w:rsidRPr="00AD5593" w:rsidRDefault="00152C67" w:rsidP="00152C67">
      <w:pPr>
        <w:spacing w:after="0"/>
        <w:jc w:val="center"/>
        <w:rPr>
          <w:b/>
          <w:sz w:val="24"/>
          <w:szCs w:val="24"/>
        </w:rPr>
      </w:pPr>
      <w:r w:rsidRPr="00AD5593">
        <w:rPr>
          <w:b/>
          <w:sz w:val="24"/>
          <w:szCs w:val="24"/>
        </w:rPr>
        <w:t>RESIDENT REVIEW</w:t>
      </w:r>
    </w:p>
    <w:p w:rsidR="00597331" w:rsidRPr="00CB6B07" w:rsidRDefault="00CB6B07" w:rsidP="00597331">
      <w:pPr>
        <w:spacing w:after="0"/>
        <w:jc w:val="center"/>
      </w:pPr>
      <w:r>
        <w:rPr>
          <w:u w:val="thick"/>
        </w:rPr>
        <w:t>_______</w:t>
      </w:r>
      <w:r w:rsidR="00A63755">
        <w:rPr>
          <w:u w:val="thick"/>
        </w:rPr>
        <w:t>_________</w:t>
      </w:r>
      <w:r>
        <w:rPr>
          <w:u w:val="thick"/>
        </w:rPr>
        <w:t>________________________________________</w:t>
      </w:r>
    </w:p>
    <w:p w:rsidR="00FF519A" w:rsidRDefault="00FF519A" w:rsidP="00FF519A">
      <w:pPr>
        <w:spacing w:after="0" w:line="240" w:lineRule="auto"/>
        <w:jc w:val="both"/>
      </w:pPr>
    </w:p>
    <w:p w:rsidR="00FC4EF2" w:rsidRDefault="00FC4EF2" w:rsidP="00FC4EF2">
      <w:pPr>
        <w:spacing w:after="0"/>
      </w:pPr>
      <w:r>
        <w:t>In FY15, the State P</w:t>
      </w:r>
      <w:r w:rsidRPr="005D63FE">
        <w:t>artners remain committed to investigate contributing factors that may explain the</w:t>
      </w:r>
      <w:r>
        <w:t xml:space="preserve"> disparities in percentages of positive recommendations between the two reviewing agencies, Metropolitan Family Services (MFS) and Lutheran Social Services of Illinois (LSSI).  In keeping with this</w:t>
      </w:r>
      <w:r w:rsidRPr="005D63FE">
        <w:t xml:space="preserve"> commitment </w:t>
      </w:r>
      <w:r>
        <w:t>a random sample review of Resident Reviews for both agencies continues to be completed</w:t>
      </w:r>
      <w:r w:rsidRPr="002E1FC6">
        <w:t xml:space="preserve"> </w:t>
      </w:r>
      <w:r>
        <w:t xml:space="preserve">on a monthly basis.  Any disparities noted after the completion of these reviews is shared with the reviewing agencies as a means to promote </w:t>
      </w:r>
      <w:r w:rsidR="00025127">
        <w:t>consistency</w:t>
      </w:r>
      <w:r>
        <w:t xml:space="preserve"> within the review process and to strengthen the Resident Review document.  To ensure that optimal opportunities for transition is afforded to Class Members  DMH will monitor the Resident Review process to assure that all Class Members  reflected in the January 2015 Census Report are currently in the pipeline for review.  The outcome of this review will be shared in the next semi-annual report. </w:t>
      </w:r>
    </w:p>
    <w:p w:rsidR="00FC4EF2" w:rsidRPr="001D563A" w:rsidRDefault="00FC4EF2" w:rsidP="00FC4EF2">
      <w:pPr>
        <w:spacing w:after="0"/>
        <w:jc w:val="both"/>
        <w:rPr>
          <w:color w:val="8064A2" w:themeColor="accent4"/>
        </w:rPr>
      </w:pPr>
    </w:p>
    <w:p w:rsidR="00FC4EF2" w:rsidRDefault="00FC4EF2" w:rsidP="00FC4EF2">
      <w:pPr>
        <w:spacing w:after="0"/>
      </w:pPr>
      <w:r>
        <w:t xml:space="preserve">As noted </w:t>
      </w:r>
      <w:r w:rsidR="00025127">
        <w:t>in</w:t>
      </w:r>
      <w:r>
        <w:t xml:space="preserve"> the previous semi-annual report, in the initial </w:t>
      </w:r>
      <w:r w:rsidRPr="001D563A">
        <w:t>random sample review of Resident Rev</w:t>
      </w:r>
      <w:r>
        <w:t>iews there is no</w:t>
      </w:r>
      <w:r w:rsidRPr="001D563A">
        <w:t xml:space="preserve"> distinguishable difference in (1) th</w:t>
      </w:r>
      <w:r>
        <w:t>e manner that reviews were</w:t>
      </w:r>
      <w:r w:rsidRPr="001D563A">
        <w:t xml:space="preserve"> approached by </w:t>
      </w:r>
      <w:r>
        <w:t xml:space="preserve">MFS </w:t>
      </w:r>
      <w:r w:rsidRPr="001D563A">
        <w:t xml:space="preserve">and </w:t>
      </w:r>
      <w:r>
        <w:t>LSSI</w:t>
      </w:r>
      <w:r w:rsidRPr="001D563A">
        <w:t xml:space="preserve"> or (2) the processes or decision flow leading to a</w:t>
      </w:r>
      <w:r>
        <w:t xml:space="preserve"> determination recommendation. In the current random sample review period those observations remained unchanged. It is important to note that in the most recent random sample period of review both MFS and LSSI continue to </w:t>
      </w:r>
      <w:r w:rsidR="00DA1DEE">
        <w:t>identify</w:t>
      </w:r>
      <w:r>
        <w:t xml:space="preserve"> ‘Class Member skills deficits or poor insight/judgment’ as barriers. However, </w:t>
      </w:r>
      <w:r w:rsidR="00DA1DEE">
        <w:t xml:space="preserve">review of the documentation clarified </w:t>
      </w:r>
      <w:r>
        <w:t xml:space="preserve">that limitations are related to current persistent symptoms, </w:t>
      </w:r>
      <w:r w:rsidR="00DA1DEE">
        <w:t>from which it can be inferred that</w:t>
      </w:r>
      <w:r>
        <w:t xml:space="preserve"> future consideration </w:t>
      </w:r>
      <w:r w:rsidR="00DA1DEE">
        <w:t xml:space="preserve">for </w:t>
      </w:r>
      <w:r>
        <w:t>transition</w:t>
      </w:r>
      <w:r w:rsidR="00DA1DEE">
        <w:t xml:space="preserve"> would be </w:t>
      </w:r>
      <w:r w:rsidR="00025127">
        <w:t>appropriate once</w:t>
      </w:r>
      <w:r w:rsidR="00DA1DEE">
        <w:t xml:space="preserve"> the individual has</w:t>
      </w:r>
      <w:r>
        <w:t xml:space="preserve"> stabilized</w:t>
      </w:r>
      <w:r w:rsidR="00DA1DEE">
        <w:t>,</w:t>
      </w:r>
      <w:r>
        <w:t xml:space="preserve"> as opposed to solely being noted as a barrier to transition. Documentation included in the Resident Review summaries continues to differ by Reviewer but generally reflect a better synthesis of content.  Those </w:t>
      </w:r>
      <w:r w:rsidR="006B1FD2">
        <w:t>narratives that</w:t>
      </w:r>
      <w:r>
        <w:t xml:space="preserve"> are briefer in summation, comparatively speaking, contained enough qualitative documentation to support the recommended outcome but would have been that much stronger with additional clinical support</w:t>
      </w:r>
      <w:r w:rsidR="00DA1DEE">
        <w:t>.</w:t>
      </w:r>
      <w:r>
        <w:t xml:space="preserve">  DMH’s emphasis is to assure that all reviews are thoroughly detailed and clinically informative.</w:t>
      </w:r>
    </w:p>
    <w:p w:rsidR="00FC4EF2" w:rsidRDefault="00FC4EF2" w:rsidP="00FC4EF2">
      <w:pPr>
        <w:spacing w:after="0"/>
      </w:pPr>
    </w:p>
    <w:p w:rsidR="00FC4EF2" w:rsidRDefault="00FC4EF2" w:rsidP="00FC4EF2">
      <w:pPr>
        <w:spacing w:after="0"/>
      </w:pPr>
      <w:r>
        <w:t>A</w:t>
      </w:r>
      <w:r w:rsidRPr="005D63FE">
        <w:t xml:space="preserve">s a means to </w:t>
      </w:r>
      <w:r>
        <w:t xml:space="preserve">assure that all reviews are thoroughly detailed and clinically </w:t>
      </w:r>
      <w:r w:rsidR="006B1FD2">
        <w:t>informative the</w:t>
      </w:r>
      <w:r w:rsidRPr="005D63FE">
        <w:t xml:space="preserve"> following recommendations </w:t>
      </w:r>
      <w:r>
        <w:t xml:space="preserve">remain appropriate for summary </w:t>
      </w:r>
      <w:r w:rsidR="006B1FD2">
        <w:t>integration by</w:t>
      </w:r>
      <w:r>
        <w:t xml:space="preserve"> both reviewing agencies</w:t>
      </w:r>
      <w:r w:rsidRPr="005D63FE">
        <w:t>:</w:t>
      </w:r>
    </w:p>
    <w:p w:rsidR="00FC4EF2" w:rsidRPr="005D63FE" w:rsidRDefault="00FC4EF2" w:rsidP="00FC4EF2">
      <w:pPr>
        <w:spacing w:after="0"/>
      </w:pPr>
    </w:p>
    <w:p w:rsidR="00FC4EF2" w:rsidRPr="005D63FE" w:rsidRDefault="00FC4EF2" w:rsidP="00FC4EF2">
      <w:pPr>
        <w:pStyle w:val="ListParagraph"/>
        <w:numPr>
          <w:ilvl w:val="0"/>
          <w:numId w:val="2"/>
        </w:numPr>
        <w:spacing w:after="0"/>
        <w:ind w:left="0"/>
      </w:pPr>
      <w:r w:rsidRPr="005D63FE">
        <w:t xml:space="preserve">Reviewers should capture highlights from each section of the Resident Review Assessment along with assessment outcomes (i.e. MMSE, LOCUS, CAGE, ABC) and integrate </w:t>
      </w:r>
      <w:r>
        <w:t xml:space="preserve">this information </w:t>
      </w:r>
      <w:r w:rsidRPr="005D63FE">
        <w:t>into the Resident Review Summary to give a snapshot of each area of the review</w:t>
      </w:r>
      <w:r w:rsidR="00DA1DEE">
        <w:t>.</w:t>
      </w:r>
    </w:p>
    <w:p w:rsidR="00FC4EF2" w:rsidRPr="005D63FE" w:rsidRDefault="00FC4EF2" w:rsidP="00FC4EF2">
      <w:pPr>
        <w:pStyle w:val="ListParagraph"/>
        <w:numPr>
          <w:ilvl w:val="0"/>
          <w:numId w:val="2"/>
        </w:numPr>
        <w:spacing w:after="0"/>
        <w:ind w:left="0"/>
      </w:pPr>
      <w:r w:rsidRPr="005D63FE">
        <w:t>When notations identifying poor ADL/IADL skills or poor insight into mental illness/ medical conditions are mentioned as barriers to transition</w:t>
      </w:r>
      <w:r w:rsidR="00DA1DEE">
        <w:t>,</w:t>
      </w:r>
      <w:r w:rsidRPr="005D63FE">
        <w:t xml:space="preserve"> clari</w:t>
      </w:r>
      <w:r w:rsidR="00DA1DEE">
        <w:t>fication</w:t>
      </w:r>
      <w:r w:rsidRPr="005D63FE">
        <w:t xml:space="preserve"> as to whether these are skill set deficits versus skills being impacted by psychiatric </w:t>
      </w:r>
      <w:r w:rsidR="00025127" w:rsidRPr="005D63FE">
        <w:t>symptoms would</w:t>
      </w:r>
      <w:r w:rsidRPr="005D63FE">
        <w:t xml:space="preserve"> help to give insight into the </w:t>
      </w:r>
      <w:r>
        <w:t>Class Member</w:t>
      </w:r>
      <w:r w:rsidR="00DA1DEE">
        <w:t>’</w:t>
      </w:r>
      <w:r>
        <w:t>s</w:t>
      </w:r>
      <w:r w:rsidRPr="005D63FE">
        <w:t xml:space="preserve"> ability to make gains in these areas.</w:t>
      </w:r>
    </w:p>
    <w:p w:rsidR="00FC4EF2" w:rsidRPr="005D63FE" w:rsidRDefault="00FC4EF2" w:rsidP="00FC4EF2">
      <w:pPr>
        <w:pStyle w:val="ListParagraph"/>
        <w:numPr>
          <w:ilvl w:val="0"/>
          <w:numId w:val="2"/>
        </w:numPr>
        <w:spacing w:after="0"/>
        <w:ind w:left="0"/>
      </w:pPr>
      <w:r w:rsidRPr="005D63FE">
        <w:t>In spite of symptoms</w:t>
      </w:r>
      <w:r w:rsidR="00304670">
        <w:t>,</w:t>
      </w:r>
      <w:r w:rsidRPr="005D63FE">
        <w:t xml:space="preserve"> the Resident Review </w:t>
      </w:r>
      <w:r>
        <w:t>s</w:t>
      </w:r>
      <w:r w:rsidRPr="005D63FE">
        <w:t xml:space="preserve">ummary should highlight Class Member strengths and the positive impact those strengths can play in the </w:t>
      </w:r>
      <w:r>
        <w:t>Class Member</w:t>
      </w:r>
      <w:r w:rsidR="00DA1DEE">
        <w:t>’</w:t>
      </w:r>
      <w:r>
        <w:t>s</w:t>
      </w:r>
      <w:r w:rsidRPr="005D63FE">
        <w:t xml:space="preserve"> road to recovery.</w:t>
      </w:r>
    </w:p>
    <w:p w:rsidR="00FC4EF2" w:rsidRDefault="00FC4EF2" w:rsidP="00FC4EF2">
      <w:pPr>
        <w:pStyle w:val="ListParagraph"/>
        <w:numPr>
          <w:ilvl w:val="0"/>
          <w:numId w:val="2"/>
        </w:numPr>
        <w:spacing w:after="0"/>
        <w:ind w:left="0"/>
      </w:pPr>
      <w:r w:rsidRPr="005D63FE">
        <w:t>To give a more com</w:t>
      </w:r>
      <w:r>
        <w:t>plete picture of Class Member</w:t>
      </w:r>
      <w:r w:rsidR="00DA1DEE">
        <w:t>’</w:t>
      </w:r>
      <w:r>
        <w:t xml:space="preserve">s </w:t>
      </w:r>
      <w:r w:rsidRPr="005D63FE">
        <w:t>life events</w:t>
      </w:r>
      <w:r w:rsidR="00DA1DEE">
        <w:t>,</w:t>
      </w:r>
      <w:r w:rsidRPr="005D63FE">
        <w:t xml:space="preserve"> dates, frequencies and descriptions of behaviors, symptoms</w:t>
      </w:r>
      <w:r w:rsidR="00DA1DEE">
        <w:t xml:space="preserve"> and</w:t>
      </w:r>
      <w:r w:rsidR="00267974">
        <w:t xml:space="preserve"> </w:t>
      </w:r>
      <w:r w:rsidRPr="005D63FE">
        <w:t>hospitalizations should be given versus use of terms such as often, frequently, multiple, verbally/physically aggressive and symptomatic with documentation noting when information is limited/not available to further clarify observations or what</w:t>
      </w:r>
      <w:r w:rsidR="00DA1DEE">
        <w:t xml:space="preserve"> i</w:t>
      </w:r>
      <w:r w:rsidRPr="005D63FE">
        <w:t xml:space="preserve">s  being documented.  </w:t>
      </w:r>
    </w:p>
    <w:p w:rsidR="00FC4EF2" w:rsidRPr="005D63FE" w:rsidRDefault="00FC4EF2" w:rsidP="00FC4EF2">
      <w:pPr>
        <w:pStyle w:val="ListParagraph"/>
        <w:numPr>
          <w:ilvl w:val="0"/>
          <w:numId w:val="2"/>
        </w:numPr>
        <w:spacing w:after="0"/>
        <w:ind w:left="0"/>
      </w:pPr>
      <w:r>
        <w:t>Reviewer</w:t>
      </w:r>
      <w:r w:rsidR="00DA1DEE">
        <w:t>’</w:t>
      </w:r>
      <w:r>
        <w:t>s documentation of recommended BIP Service Enhancements, i.e., Enhanced Skills and In-Home Recovery will be captured in the Resident Review Service Recommendation section, as well as contained in a separate last paragraph.</w:t>
      </w:r>
    </w:p>
    <w:p w:rsidR="00FC4EF2" w:rsidRDefault="00FC4EF2" w:rsidP="00FC4EF2">
      <w:pPr>
        <w:pStyle w:val="ListParagraph"/>
        <w:numPr>
          <w:ilvl w:val="0"/>
          <w:numId w:val="2"/>
        </w:numPr>
        <w:spacing w:after="0"/>
        <w:ind w:left="0"/>
      </w:pPr>
      <w:r w:rsidRPr="005D63FE">
        <w:t xml:space="preserve">Lastly, rationales as to why </w:t>
      </w:r>
      <w:r>
        <w:t>Class Members</w:t>
      </w:r>
      <w:r w:rsidRPr="005D63FE">
        <w:t xml:space="preserve"> are not appropriate for PSH as well as other residential options should be included in the Resident Review </w:t>
      </w:r>
      <w:r>
        <w:t>s</w:t>
      </w:r>
      <w:r w:rsidRPr="005D63FE">
        <w:t xml:space="preserve">ummary </w:t>
      </w:r>
      <w:r>
        <w:t xml:space="preserve">and captured on the on-line system addendum form </w:t>
      </w:r>
      <w:r w:rsidRPr="005D63FE">
        <w:t>to illustrate that all options for possible transition were explored.</w:t>
      </w:r>
    </w:p>
    <w:p w:rsidR="00FC4EF2" w:rsidRDefault="00FC4EF2" w:rsidP="00FC4EF2">
      <w:pPr>
        <w:pStyle w:val="ListParagraph"/>
        <w:spacing w:after="0"/>
        <w:ind w:left="0"/>
      </w:pPr>
    </w:p>
    <w:p w:rsidR="00FC4EF2" w:rsidRPr="00C425F3" w:rsidRDefault="00FC4EF2" w:rsidP="00FC4EF2">
      <w:pPr>
        <w:spacing w:after="0"/>
        <w:rPr>
          <w:b/>
        </w:rPr>
      </w:pPr>
      <w:r>
        <w:t xml:space="preserve">State Partners </w:t>
      </w:r>
      <w:r w:rsidRPr="00671C95">
        <w:t>continue</w:t>
      </w:r>
      <w:r>
        <w:t xml:space="preserve"> to capture and analyze areas of productivity through Q</w:t>
      </w:r>
      <w:r w:rsidRPr="00671C95">
        <w:t xml:space="preserve">uarterly Performance Measure data </w:t>
      </w:r>
      <w:r>
        <w:t xml:space="preserve">submitted by MFS and LSSI. </w:t>
      </w:r>
      <w:r w:rsidRPr="00671C95">
        <w:t xml:space="preserve">The following table reflects total numbers for the </w:t>
      </w:r>
      <w:r>
        <w:t>current reporting quarter</w:t>
      </w:r>
      <w:r w:rsidRPr="00671C95">
        <w:t>.</w:t>
      </w:r>
    </w:p>
    <w:p w:rsidR="00E572E7" w:rsidRPr="00C425F3" w:rsidRDefault="00E572E7" w:rsidP="00E572E7">
      <w:pPr>
        <w:spacing w:after="0" w:line="240" w:lineRule="auto"/>
        <w:rPr>
          <w:b/>
        </w:rPr>
      </w:pPr>
    </w:p>
    <w:p w:rsidR="00E572E7" w:rsidRPr="00C425F3" w:rsidRDefault="00E572E7" w:rsidP="00E572E7">
      <w:pPr>
        <w:spacing w:after="0" w:line="240" w:lineRule="auto"/>
        <w:rPr>
          <w:b/>
        </w:rPr>
      </w:pPr>
      <w:r>
        <w:rPr>
          <w:b/>
        </w:rPr>
        <w:t>*</w:t>
      </w:r>
      <w:r w:rsidRPr="00C425F3">
        <w:rPr>
          <w:b/>
        </w:rPr>
        <w:t>Performance Measures Outcome</w:t>
      </w:r>
      <w:r w:rsidRPr="00C425F3">
        <w:rPr>
          <w:rStyle w:val="FootnoteReference"/>
          <w:b/>
        </w:rPr>
        <w:footnoteReference w:id="1"/>
      </w:r>
      <w:r w:rsidRPr="00C425F3">
        <w:rPr>
          <w:b/>
        </w:rPr>
        <w:t xml:space="preserve"> </w:t>
      </w:r>
      <w:r w:rsidRPr="00C425F3">
        <w:rPr>
          <w:rStyle w:val="FootnoteReference"/>
          <w:b/>
        </w:rPr>
        <w:footnoteReference w:id="2"/>
      </w:r>
    </w:p>
    <w:tbl>
      <w:tblPr>
        <w:tblStyle w:val="TableGrid"/>
        <w:tblW w:w="11250" w:type="dxa"/>
        <w:tblInd w:w="-702" w:type="dxa"/>
        <w:tblLayout w:type="fixed"/>
        <w:tblLook w:val="04A0" w:firstRow="1" w:lastRow="0" w:firstColumn="1" w:lastColumn="0" w:noHBand="0" w:noVBand="1"/>
      </w:tblPr>
      <w:tblGrid>
        <w:gridCol w:w="540"/>
        <w:gridCol w:w="1080"/>
        <w:gridCol w:w="1080"/>
        <w:gridCol w:w="1131"/>
        <w:gridCol w:w="1029"/>
        <w:gridCol w:w="810"/>
        <w:gridCol w:w="900"/>
        <w:gridCol w:w="810"/>
        <w:gridCol w:w="1080"/>
        <w:gridCol w:w="810"/>
        <w:gridCol w:w="900"/>
        <w:gridCol w:w="1080"/>
      </w:tblGrid>
      <w:tr w:rsidR="00E572E7" w:rsidRPr="00C425F3" w:rsidTr="007D2EAA">
        <w:trPr>
          <w:trHeight w:val="975"/>
        </w:trPr>
        <w:tc>
          <w:tcPr>
            <w:tcW w:w="540" w:type="dxa"/>
          </w:tcPr>
          <w:p w:rsidR="00E572E7" w:rsidRPr="00C425F3" w:rsidRDefault="00E572E7" w:rsidP="007D2EAA">
            <w:pPr>
              <w:rPr>
                <w:b/>
                <w:sz w:val="16"/>
                <w:szCs w:val="16"/>
              </w:rPr>
            </w:pPr>
          </w:p>
        </w:tc>
        <w:tc>
          <w:tcPr>
            <w:tcW w:w="1080" w:type="dxa"/>
          </w:tcPr>
          <w:p w:rsidR="00E572E7" w:rsidRPr="00C425F3" w:rsidRDefault="00E572E7" w:rsidP="007D2EAA">
            <w:pPr>
              <w:rPr>
                <w:b/>
                <w:sz w:val="16"/>
                <w:szCs w:val="16"/>
              </w:rPr>
            </w:pPr>
            <w:r w:rsidRPr="00C425F3">
              <w:rPr>
                <w:b/>
                <w:sz w:val="16"/>
                <w:szCs w:val="16"/>
              </w:rPr>
              <w:t># 1</w:t>
            </w:r>
          </w:p>
          <w:p w:rsidR="00E572E7" w:rsidRPr="00C425F3" w:rsidRDefault="00E572E7" w:rsidP="007D2EAA">
            <w:pPr>
              <w:rPr>
                <w:b/>
                <w:sz w:val="16"/>
                <w:szCs w:val="16"/>
              </w:rPr>
            </w:pPr>
            <w:r w:rsidRPr="00C425F3">
              <w:rPr>
                <w:b/>
                <w:sz w:val="16"/>
                <w:szCs w:val="16"/>
              </w:rPr>
              <w:t xml:space="preserve">Approached </w:t>
            </w:r>
          </w:p>
        </w:tc>
        <w:tc>
          <w:tcPr>
            <w:tcW w:w="1080" w:type="dxa"/>
          </w:tcPr>
          <w:p w:rsidR="00E572E7" w:rsidRPr="00C425F3" w:rsidRDefault="00E572E7" w:rsidP="007D2EAA">
            <w:pPr>
              <w:rPr>
                <w:b/>
                <w:sz w:val="16"/>
                <w:szCs w:val="16"/>
              </w:rPr>
            </w:pPr>
            <w:r w:rsidRPr="00C425F3">
              <w:rPr>
                <w:b/>
                <w:sz w:val="16"/>
                <w:szCs w:val="16"/>
              </w:rPr>
              <w:t># 2</w:t>
            </w:r>
          </w:p>
          <w:p w:rsidR="00E572E7" w:rsidRPr="00C425F3" w:rsidRDefault="00E572E7" w:rsidP="007D2EAA">
            <w:pPr>
              <w:rPr>
                <w:b/>
                <w:sz w:val="16"/>
                <w:szCs w:val="16"/>
              </w:rPr>
            </w:pPr>
            <w:r w:rsidRPr="00C425F3">
              <w:rPr>
                <w:b/>
                <w:sz w:val="16"/>
                <w:szCs w:val="16"/>
              </w:rPr>
              <w:t xml:space="preserve">Approached Refused </w:t>
            </w:r>
          </w:p>
        </w:tc>
        <w:tc>
          <w:tcPr>
            <w:tcW w:w="1131" w:type="dxa"/>
          </w:tcPr>
          <w:p w:rsidR="00E572E7" w:rsidRPr="00C425F3" w:rsidRDefault="00E572E7" w:rsidP="007D2EAA">
            <w:pPr>
              <w:rPr>
                <w:b/>
                <w:sz w:val="16"/>
                <w:szCs w:val="16"/>
              </w:rPr>
            </w:pPr>
            <w:r w:rsidRPr="00C425F3">
              <w:rPr>
                <w:b/>
                <w:sz w:val="16"/>
                <w:szCs w:val="16"/>
              </w:rPr>
              <w:t># 3</w:t>
            </w:r>
          </w:p>
          <w:p w:rsidR="00E572E7" w:rsidRPr="00C425F3" w:rsidRDefault="00E572E7" w:rsidP="007D2EAA">
            <w:pPr>
              <w:rPr>
                <w:b/>
                <w:sz w:val="16"/>
                <w:szCs w:val="16"/>
              </w:rPr>
            </w:pPr>
            <w:r w:rsidRPr="00C425F3">
              <w:rPr>
                <w:b/>
                <w:sz w:val="16"/>
                <w:szCs w:val="16"/>
              </w:rPr>
              <w:t>Signed Participation Agreement</w:t>
            </w:r>
          </w:p>
        </w:tc>
        <w:tc>
          <w:tcPr>
            <w:tcW w:w="1029" w:type="dxa"/>
          </w:tcPr>
          <w:p w:rsidR="00E572E7" w:rsidRPr="00C425F3" w:rsidRDefault="00E572E7" w:rsidP="007D2EAA">
            <w:pPr>
              <w:rPr>
                <w:b/>
                <w:sz w:val="16"/>
                <w:szCs w:val="16"/>
              </w:rPr>
            </w:pPr>
            <w:r w:rsidRPr="00C425F3">
              <w:rPr>
                <w:b/>
                <w:sz w:val="16"/>
                <w:szCs w:val="16"/>
              </w:rPr>
              <w:t># 4</w:t>
            </w:r>
          </w:p>
          <w:p w:rsidR="00E572E7" w:rsidRPr="00C425F3" w:rsidRDefault="00E572E7" w:rsidP="007D2EAA">
            <w:pPr>
              <w:rPr>
                <w:b/>
                <w:sz w:val="16"/>
                <w:szCs w:val="16"/>
              </w:rPr>
            </w:pPr>
            <w:r>
              <w:rPr>
                <w:b/>
                <w:sz w:val="16"/>
                <w:szCs w:val="16"/>
              </w:rPr>
              <w:t>Full Assessmen</w:t>
            </w:r>
            <w:r w:rsidRPr="00C425F3">
              <w:rPr>
                <w:b/>
                <w:sz w:val="16"/>
                <w:szCs w:val="16"/>
              </w:rPr>
              <w:t>t Completed</w:t>
            </w:r>
          </w:p>
        </w:tc>
        <w:tc>
          <w:tcPr>
            <w:tcW w:w="810" w:type="dxa"/>
          </w:tcPr>
          <w:p w:rsidR="00E572E7" w:rsidRPr="00C425F3" w:rsidRDefault="00E572E7" w:rsidP="007D2EAA">
            <w:pPr>
              <w:rPr>
                <w:b/>
                <w:sz w:val="16"/>
                <w:szCs w:val="16"/>
              </w:rPr>
            </w:pPr>
            <w:r w:rsidRPr="00C425F3">
              <w:rPr>
                <w:b/>
                <w:sz w:val="16"/>
                <w:szCs w:val="16"/>
              </w:rPr>
              <w:t>#5</w:t>
            </w:r>
          </w:p>
          <w:p w:rsidR="00E572E7" w:rsidRPr="00C425F3" w:rsidRDefault="00E572E7" w:rsidP="007D2EAA">
            <w:pPr>
              <w:rPr>
                <w:b/>
                <w:sz w:val="16"/>
                <w:szCs w:val="16"/>
              </w:rPr>
            </w:pPr>
            <w:r w:rsidRPr="00C425F3">
              <w:rPr>
                <w:b/>
                <w:sz w:val="16"/>
                <w:szCs w:val="16"/>
              </w:rPr>
              <w:t xml:space="preserve"> Aborted </w:t>
            </w:r>
          </w:p>
          <w:p w:rsidR="00E572E7" w:rsidRPr="00C425F3" w:rsidRDefault="00E572E7" w:rsidP="007D2EAA">
            <w:pPr>
              <w:rPr>
                <w:b/>
                <w:sz w:val="16"/>
                <w:szCs w:val="16"/>
              </w:rPr>
            </w:pPr>
            <w:r w:rsidRPr="00C425F3">
              <w:rPr>
                <w:b/>
                <w:sz w:val="16"/>
                <w:szCs w:val="16"/>
              </w:rPr>
              <w:t>Asst’mt</w:t>
            </w:r>
          </w:p>
        </w:tc>
        <w:tc>
          <w:tcPr>
            <w:tcW w:w="900" w:type="dxa"/>
          </w:tcPr>
          <w:p w:rsidR="00E572E7" w:rsidRPr="00C425F3" w:rsidRDefault="00E572E7" w:rsidP="007D2EAA">
            <w:pPr>
              <w:rPr>
                <w:b/>
                <w:sz w:val="16"/>
                <w:szCs w:val="16"/>
              </w:rPr>
            </w:pPr>
            <w:r w:rsidRPr="00C425F3">
              <w:rPr>
                <w:b/>
                <w:sz w:val="16"/>
                <w:szCs w:val="16"/>
              </w:rPr>
              <w:t xml:space="preserve">#7 </w:t>
            </w:r>
          </w:p>
          <w:p w:rsidR="00E572E7" w:rsidRPr="00C425F3" w:rsidRDefault="00E572E7" w:rsidP="007D2EAA">
            <w:pPr>
              <w:rPr>
                <w:b/>
                <w:sz w:val="16"/>
                <w:szCs w:val="16"/>
              </w:rPr>
            </w:pPr>
            <w:r w:rsidRPr="00C425F3">
              <w:rPr>
                <w:b/>
                <w:sz w:val="16"/>
                <w:szCs w:val="16"/>
              </w:rPr>
              <w:t>Recom’d for Transition</w:t>
            </w:r>
          </w:p>
        </w:tc>
        <w:tc>
          <w:tcPr>
            <w:tcW w:w="810" w:type="dxa"/>
          </w:tcPr>
          <w:p w:rsidR="00E572E7" w:rsidRPr="00C425F3" w:rsidRDefault="00E572E7" w:rsidP="007D2EAA">
            <w:pPr>
              <w:rPr>
                <w:b/>
                <w:sz w:val="16"/>
                <w:szCs w:val="16"/>
              </w:rPr>
            </w:pPr>
            <w:r w:rsidRPr="00C425F3">
              <w:rPr>
                <w:b/>
                <w:sz w:val="16"/>
                <w:szCs w:val="16"/>
              </w:rPr>
              <w:t xml:space="preserve">#8 </w:t>
            </w:r>
          </w:p>
          <w:p w:rsidR="00E572E7" w:rsidRPr="00C425F3" w:rsidRDefault="00E572E7" w:rsidP="007D2EAA">
            <w:pPr>
              <w:rPr>
                <w:b/>
                <w:sz w:val="16"/>
                <w:szCs w:val="16"/>
              </w:rPr>
            </w:pPr>
            <w:r w:rsidRPr="00C425F3">
              <w:rPr>
                <w:b/>
                <w:sz w:val="16"/>
                <w:szCs w:val="16"/>
              </w:rPr>
              <w:t xml:space="preserve">Not Recom’d </w:t>
            </w:r>
          </w:p>
        </w:tc>
        <w:tc>
          <w:tcPr>
            <w:tcW w:w="1080" w:type="dxa"/>
          </w:tcPr>
          <w:p w:rsidR="00E572E7" w:rsidRPr="00C425F3" w:rsidRDefault="00E572E7" w:rsidP="007D2EAA">
            <w:pPr>
              <w:rPr>
                <w:b/>
                <w:sz w:val="16"/>
                <w:szCs w:val="16"/>
              </w:rPr>
            </w:pPr>
            <w:r w:rsidRPr="00C425F3">
              <w:rPr>
                <w:b/>
                <w:sz w:val="16"/>
                <w:szCs w:val="16"/>
              </w:rPr>
              <w:t>#9</w:t>
            </w:r>
          </w:p>
          <w:p w:rsidR="00E572E7" w:rsidRDefault="00E572E7" w:rsidP="007D2EAA">
            <w:pPr>
              <w:rPr>
                <w:b/>
                <w:sz w:val="16"/>
                <w:szCs w:val="16"/>
              </w:rPr>
            </w:pPr>
            <w:r w:rsidRPr="00C425F3">
              <w:rPr>
                <w:b/>
                <w:sz w:val="16"/>
                <w:szCs w:val="16"/>
              </w:rPr>
              <w:t xml:space="preserve">Staff </w:t>
            </w:r>
            <w:r>
              <w:rPr>
                <w:b/>
                <w:sz w:val="16"/>
                <w:szCs w:val="16"/>
              </w:rPr>
              <w:t>productivity</w:t>
            </w:r>
          </w:p>
          <w:p w:rsidR="00E572E7" w:rsidRPr="00C425F3" w:rsidRDefault="00E572E7" w:rsidP="007D2EAA">
            <w:pPr>
              <w:rPr>
                <w:b/>
                <w:sz w:val="16"/>
                <w:szCs w:val="16"/>
              </w:rPr>
            </w:pPr>
            <w:r>
              <w:rPr>
                <w:b/>
                <w:sz w:val="16"/>
                <w:szCs w:val="16"/>
              </w:rPr>
              <w:t>Approved</w:t>
            </w:r>
          </w:p>
        </w:tc>
        <w:tc>
          <w:tcPr>
            <w:tcW w:w="810" w:type="dxa"/>
          </w:tcPr>
          <w:p w:rsidR="00E572E7" w:rsidRPr="00C425F3" w:rsidRDefault="00E572E7" w:rsidP="007D2EAA">
            <w:pPr>
              <w:rPr>
                <w:b/>
                <w:sz w:val="16"/>
                <w:szCs w:val="16"/>
              </w:rPr>
            </w:pPr>
            <w:r w:rsidRPr="00C425F3">
              <w:rPr>
                <w:b/>
                <w:sz w:val="16"/>
                <w:szCs w:val="16"/>
              </w:rPr>
              <w:t>#10</w:t>
            </w:r>
          </w:p>
          <w:p w:rsidR="00E572E7" w:rsidRPr="00C425F3" w:rsidRDefault="00E572E7" w:rsidP="007D2EAA">
            <w:pPr>
              <w:rPr>
                <w:b/>
                <w:sz w:val="16"/>
                <w:szCs w:val="16"/>
              </w:rPr>
            </w:pPr>
            <w:r w:rsidRPr="00C425F3">
              <w:rPr>
                <w:b/>
                <w:sz w:val="16"/>
                <w:szCs w:val="16"/>
              </w:rPr>
              <w:t>Complex medical need</w:t>
            </w:r>
          </w:p>
        </w:tc>
        <w:tc>
          <w:tcPr>
            <w:tcW w:w="900" w:type="dxa"/>
          </w:tcPr>
          <w:p w:rsidR="00E572E7" w:rsidRPr="00C425F3" w:rsidRDefault="00E572E7" w:rsidP="007D2EAA">
            <w:pPr>
              <w:rPr>
                <w:b/>
                <w:sz w:val="16"/>
                <w:szCs w:val="16"/>
              </w:rPr>
            </w:pPr>
            <w:r w:rsidRPr="00C425F3">
              <w:rPr>
                <w:b/>
                <w:sz w:val="16"/>
                <w:szCs w:val="16"/>
              </w:rPr>
              <w:t>#11</w:t>
            </w:r>
          </w:p>
          <w:p w:rsidR="00E572E7" w:rsidRPr="00C425F3" w:rsidRDefault="00E572E7" w:rsidP="007D2EAA">
            <w:pPr>
              <w:rPr>
                <w:b/>
                <w:sz w:val="16"/>
                <w:szCs w:val="16"/>
              </w:rPr>
            </w:pPr>
            <w:r w:rsidRPr="00C425F3">
              <w:rPr>
                <w:b/>
                <w:sz w:val="16"/>
                <w:szCs w:val="16"/>
              </w:rPr>
              <w:t>criminal histories</w:t>
            </w:r>
          </w:p>
        </w:tc>
        <w:tc>
          <w:tcPr>
            <w:tcW w:w="1080" w:type="dxa"/>
          </w:tcPr>
          <w:p w:rsidR="00E572E7" w:rsidRPr="00C425F3" w:rsidRDefault="00E572E7" w:rsidP="007D2EAA">
            <w:pPr>
              <w:rPr>
                <w:b/>
                <w:sz w:val="16"/>
                <w:szCs w:val="16"/>
              </w:rPr>
            </w:pPr>
            <w:r>
              <w:rPr>
                <w:b/>
                <w:sz w:val="16"/>
                <w:szCs w:val="16"/>
              </w:rPr>
              <w:t>#12</w:t>
            </w:r>
          </w:p>
          <w:p w:rsidR="00E572E7" w:rsidRDefault="00E572E7" w:rsidP="007D2EAA">
            <w:pPr>
              <w:rPr>
                <w:b/>
                <w:sz w:val="16"/>
                <w:szCs w:val="16"/>
              </w:rPr>
            </w:pPr>
            <w:r>
              <w:rPr>
                <w:b/>
                <w:sz w:val="16"/>
                <w:szCs w:val="16"/>
              </w:rPr>
              <w:t>Staff</w:t>
            </w:r>
          </w:p>
          <w:p w:rsidR="00E572E7" w:rsidRDefault="00E572E7" w:rsidP="007D2EAA">
            <w:pPr>
              <w:rPr>
                <w:b/>
                <w:sz w:val="16"/>
                <w:szCs w:val="16"/>
              </w:rPr>
            </w:pPr>
            <w:r>
              <w:rPr>
                <w:b/>
                <w:sz w:val="16"/>
                <w:szCs w:val="16"/>
              </w:rPr>
              <w:t xml:space="preserve">Productivity </w:t>
            </w:r>
          </w:p>
          <w:p w:rsidR="00E572E7" w:rsidRPr="00C425F3" w:rsidRDefault="00E572E7" w:rsidP="007D2EAA">
            <w:pPr>
              <w:rPr>
                <w:b/>
                <w:sz w:val="16"/>
                <w:szCs w:val="16"/>
              </w:rPr>
            </w:pPr>
            <w:r>
              <w:rPr>
                <w:b/>
                <w:sz w:val="16"/>
                <w:szCs w:val="16"/>
              </w:rPr>
              <w:t>Denied</w:t>
            </w:r>
          </w:p>
        </w:tc>
      </w:tr>
      <w:tr w:rsidR="00E572E7" w:rsidRPr="00C425F3" w:rsidTr="007D2EAA">
        <w:trPr>
          <w:trHeight w:val="195"/>
        </w:trPr>
        <w:tc>
          <w:tcPr>
            <w:tcW w:w="540" w:type="dxa"/>
          </w:tcPr>
          <w:p w:rsidR="00E572E7" w:rsidRPr="00C425F3" w:rsidRDefault="00E572E7" w:rsidP="007D2EAA">
            <w:pPr>
              <w:rPr>
                <w:b/>
                <w:sz w:val="16"/>
                <w:szCs w:val="16"/>
              </w:rPr>
            </w:pPr>
            <w:r w:rsidRPr="00C425F3">
              <w:rPr>
                <w:b/>
                <w:sz w:val="16"/>
                <w:szCs w:val="16"/>
              </w:rPr>
              <w:t>LSSI</w:t>
            </w:r>
          </w:p>
        </w:tc>
        <w:tc>
          <w:tcPr>
            <w:tcW w:w="1080" w:type="dxa"/>
          </w:tcPr>
          <w:p w:rsidR="00E572E7" w:rsidRPr="00C425F3" w:rsidRDefault="00E572E7" w:rsidP="007D2EAA">
            <w:pPr>
              <w:jc w:val="center"/>
              <w:rPr>
                <w:b/>
                <w:sz w:val="16"/>
                <w:szCs w:val="16"/>
              </w:rPr>
            </w:pPr>
            <w:r>
              <w:rPr>
                <w:b/>
                <w:sz w:val="16"/>
                <w:szCs w:val="16"/>
              </w:rPr>
              <w:t>945</w:t>
            </w:r>
          </w:p>
        </w:tc>
        <w:tc>
          <w:tcPr>
            <w:tcW w:w="1080" w:type="dxa"/>
          </w:tcPr>
          <w:p w:rsidR="00E572E7" w:rsidRPr="00C425F3" w:rsidRDefault="00E572E7" w:rsidP="007D2EAA">
            <w:pPr>
              <w:jc w:val="center"/>
              <w:rPr>
                <w:b/>
                <w:sz w:val="16"/>
                <w:szCs w:val="16"/>
              </w:rPr>
            </w:pPr>
            <w:r>
              <w:rPr>
                <w:b/>
                <w:sz w:val="16"/>
                <w:szCs w:val="16"/>
              </w:rPr>
              <w:t>585 (62%)</w:t>
            </w:r>
          </w:p>
        </w:tc>
        <w:tc>
          <w:tcPr>
            <w:tcW w:w="1131" w:type="dxa"/>
          </w:tcPr>
          <w:p w:rsidR="00E572E7" w:rsidRPr="00C425F3" w:rsidRDefault="00E572E7" w:rsidP="007D2EAA">
            <w:pPr>
              <w:jc w:val="center"/>
              <w:rPr>
                <w:b/>
                <w:sz w:val="16"/>
                <w:szCs w:val="16"/>
              </w:rPr>
            </w:pPr>
            <w:r>
              <w:rPr>
                <w:b/>
                <w:sz w:val="16"/>
                <w:szCs w:val="16"/>
              </w:rPr>
              <w:t>829</w:t>
            </w:r>
          </w:p>
        </w:tc>
        <w:tc>
          <w:tcPr>
            <w:tcW w:w="1029" w:type="dxa"/>
          </w:tcPr>
          <w:p w:rsidR="00E572E7" w:rsidRPr="00C425F3" w:rsidRDefault="00E572E7" w:rsidP="007D2EAA">
            <w:pPr>
              <w:jc w:val="center"/>
              <w:rPr>
                <w:b/>
                <w:sz w:val="16"/>
                <w:szCs w:val="16"/>
              </w:rPr>
            </w:pPr>
            <w:r>
              <w:rPr>
                <w:b/>
                <w:sz w:val="16"/>
                <w:szCs w:val="16"/>
              </w:rPr>
              <w:t>339</w:t>
            </w:r>
          </w:p>
        </w:tc>
        <w:tc>
          <w:tcPr>
            <w:tcW w:w="810" w:type="dxa"/>
          </w:tcPr>
          <w:p w:rsidR="00E572E7" w:rsidRPr="00C425F3" w:rsidRDefault="00E572E7" w:rsidP="007D2EAA">
            <w:pPr>
              <w:jc w:val="center"/>
              <w:rPr>
                <w:b/>
                <w:sz w:val="16"/>
                <w:szCs w:val="16"/>
              </w:rPr>
            </w:pPr>
            <w:r>
              <w:rPr>
                <w:b/>
                <w:sz w:val="16"/>
                <w:szCs w:val="16"/>
              </w:rPr>
              <w:t>21</w:t>
            </w:r>
          </w:p>
        </w:tc>
        <w:tc>
          <w:tcPr>
            <w:tcW w:w="900" w:type="dxa"/>
          </w:tcPr>
          <w:p w:rsidR="00E572E7" w:rsidRPr="00C425F3" w:rsidRDefault="00E572E7" w:rsidP="007D2EAA">
            <w:pPr>
              <w:jc w:val="center"/>
              <w:rPr>
                <w:b/>
                <w:sz w:val="16"/>
                <w:szCs w:val="16"/>
              </w:rPr>
            </w:pPr>
            <w:r>
              <w:rPr>
                <w:b/>
                <w:sz w:val="16"/>
                <w:szCs w:val="16"/>
              </w:rPr>
              <w:t>301</w:t>
            </w:r>
          </w:p>
        </w:tc>
        <w:tc>
          <w:tcPr>
            <w:tcW w:w="810" w:type="dxa"/>
          </w:tcPr>
          <w:p w:rsidR="00E572E7" w:rsidRPr="00C425F3" w:rsidRDefault="00E572E7" w:rsidP="007D2EAA">
            <w:pPr>
              <w:jc w:val="center"/>
              <w:rPr>
                <w:b/>
                <w:sz w:val="16"/>
                <w:szCs w:val="16"/>
              </w:rPr>
            </w:pPr>
            <w:r>
              <w:rPr>
                <w:b/>
                <w:sz w:val="16"/>
                <w:szCs w:val="16"/>
              </w:rPr>
              <w:t>38</w:t>
            </w:r>
          </w:p>
        </w:tc>
        <w:tc>
          <w:tcPr>
            <w:tcW w:w="1080" w:type="dxa"/>
          </w:tcPr>
          <w:p w:rsidR="00E572E7" w:rsidRPr="00C425F3" w:rsidRDefault="00E572E7" w:rsidP="007D2EAA">
            <w:pPr>
              <w:jc w:val="center"/>
              <w:rPr>
                <w:b/>
                <w:sz w:val="16"/>
                <w:szCs w:val="16"/>
              </w:rPr>
            </w:pPr>
            <w:r>
              <w:rPr>
                <w:b/>
                <w:sz w:val="16"/>
                <w:szCs w:val="16"/>
              </w:rPr>
              <w:t>301</w:t>
            </w:r>
          </w:p>
        </w:tc>
        <w:tc>
          <w:tcPr>
            <w:tcW w:w="810" w:type="dxa"/>
          </w:tcPr>
          <w:p w:rsidR="00E572E7" w:rsidRPr="00C425F3" w:rsidRDefault="00E572E7" w:rsidP="007D2EAA">
            <w:pPr>
              <w:jc w:val="center"/>
              <w:rPr>
                <w:b/>
                <w:sz w:val="16"/>
                <w:szCs w:val="16"/>
              </w:rPr>
            </w:pPr>
            <w:r>
              <w:rPr>
                <w:b/>
                <w:sz w:val="16"/>
                <w:szCs w:val="16"/>
              </w:rPr>
              <w:t>177</w:t>
            </w:r>
          </w:p>
        </w:tc>
        <w:tc>
          <w:tcPr>
            <w:tcW w:w="900" w:type="dxa"/>
          </w:tcPr>
          <w:p w:rsidR="00E572E7" w:rsidRPr="00C425F3" w:rsidRDefault="00E572E7" w:rsidP="007D2EAA">
            <w:pPr>
              <w:jc w:val="center"/>
              <w:rPr>
                <w:b/>
                <w:sz w:val="16"/>
                <w:szCs w:val="16"/>
              </w:rPr>
            </w:pPr>
            <w:r>
              <w:rPr>
                <w:b/>
                <w:sz w:val="16"/>
                <w:szCs w:val="16"/>
              </w:rPr>
              <w:t>112</w:t>
            </w:r>
          </w:p>
        </w:tc>
        <w:tc>
          <w:tcPr>
            <w:tcW w:w="1080" w:type="dxa"/>
          </w:tcPr>
          <w:p w:rsidR="00E572E7" w:rsidRPr="00C425F3" w:rsidRDefault="00E572E7" w:rsidP="007D2EAA">
            <w:pPr>
              <w:jc w:val="center"/>
              <w:rPr>
                <w:b/>
                <w:sz w:val="16"/>
                <w:szCs w:val="16"/>
              </w:rPr>
            </w:pPr>
            <w:r>
              <w:rPr>
                <w:b/>
                <w:sz w:val="16"/>
                <w:szCs w:val="16"/>
              </w:rPr>
              <w:t>38</w:t>
            </w:r>
          </w:p>
        </w:tc>
      </w:tr>
      <w:tr w:rsidR="00E572E7" w:rsidRPr="00C425F3" w:rsidTr="007D2EAA">
        <w:trPr>
          <w:trHeight w:val="180"/>
        </w:trPr>
        <w:tc>
          <w:tcPr>
            <w:tcW w:w="540" w:type="dxa"/>
          </w:tcPr>
          <w:p w:rsidR="00E572E7" w:rsidRPr="00C425F3" w:rsidRDefault="00E572E7" w:rsidP="007D2EAA">
            <w:pPr>
              <w:rPr>
                <w:b/>
                <w:sz w:val="16"/>
                <w:szCs w:val="16"/>
              </w:rPr>
            </w:pPr>
          </w:p>
        </w:tc>
        <w:tc>
          <w:tcPr>
            <w:tcW w:w="1080" w:type="dxa"/>
          </w:tcPr>
          <w:p w:rsidR="00E572E7" w:rsidRPr="00C425F3" w:rsidRDefault="00E572E7" w:rsidP="007D2EAA">
            <w:pPr>
              <w:jc w:val="center"/>
              <w:rPr>
                <w:b/>
                <w:sz w:val="16"/>
                <w:szCs w:val="16"/>
              </w:rPr>
            </w:pPr>
          </w:p>
        </w:tc>
        <w:tc>
          <w:tcPr>
            <w:tcW w:w="1080" w:type="dxa"/>
          </w:tcPr>
          <w:p w:rsidR="00E572E7" w:rsidRPr="00C425F3" w:rsidRDefault="00E572E7" w:rsidP="007D2EAA">
            <w:pPr>
              <w:jc w:val="center"/>
              <w:rPr>
                <w:b/>
                <w:sz w:val="16"/>
                <w:szCs w:val="16"/>
              </w:rPr>
            </w:pPr>
          </w:p>
        </w:tc>
        <w:tc>
          <w:tcPr>
            <w:tcW w:w="1131" w:type="dxa"/>
          </w:tcPr>
          <w:p w:rsidR="00E572E7" w:rsidRPr="00C425F3" w:rsidRDefault="00E572E7" w:rsidP="007D2EAA">
            <w:pPr>
              <w:jc w:val="center"/>
              <w:rPr>
                <w:b/>
                <w:sz w:val="16"/>
                <w:szCs w:val="16"/>
              </w:rPr>
            </w:pPr>
          </w:p>
        </w:tc>
        <w:tc>
          <w:tcPr>
            <w:tcW w:w="1029" w:type="dxa"/>
          </w:tcPr>
          <w:p w:rsidR="00E572E7" w:rsidRPr="00C425F3" w:rsidRDefault="00E572E7" w:rsidP="007D2EAA">
            <w:pPr>
              <w:jc w:val="center"/>
              <w:rPr>
                <w:b/>
                <w:sz w:val="16"/>
                <w:szCs w:val="16"/>
              </w:rPr>
            </w:pPr>
          </w:p>
        </w:tc>
        <w:tc>
          <w:tcPr>
            <w:tcW w:w="810" w:type="dxa"/>
          </w:tcPr>
          <w:p w:rsidR="00E572E7" w:rsidRPr="00C425F3" w:rsidRDefault="00E572E7" w:rsidP="007D2EAA">
            <w:pPr>
              <w:jc w:val="center"/>
              <w:rPr>
                <w:b/>
                <w:sz w:val="16"/>
                <w:szCs w:val="16"/>
              </w:rPr>
            </w:pPr>
          </w:p>
        </w:tc>
        <w:tc>
          <w:tcPr>
            <w:tcW w:w="900" w:type="dxa"/>
          </w:tcPr>
          <w:p w:rsidR="00E572E7" w:rsidRPr="00C425F3" w:rsidRDefault="00E572E7" w:rsidP="007D2EAA">
            <w:pPr>
              <w:jc w:val="center"/>
              <w:rPr>
                <w:b/>
                <w:sz w:val="16"/>
                <w:szCs w:val="16"/>
              </w:rPr>
            </w:pPr>
          </w:p>
        </w:tc>
        <w:tc>
          <w:tcPr>
            <w:tcW w:w="810" w:type="dxa"/>
          </w:tcPr>
          <w:p w:rsidR="00E572E7" w:rsidRPr="00C425F3" w:rsidRDefault="00E572E7" w:rsidP="007D2EAA">
            <w:pPr>
              <w:jc w:val="center"/>
              <w:rPr>
                <w:b/>
                <w:sz w:val="16"/>
                <w:szCs w:val="16"/>
              </w:rPr>
            </w:pPr>
          </w:p>
        </w:tc>
        <w:tc>
          <w:tcPr>
            <w:tcW w:w="1080" w:type="dxa"/>
          </w:tcPr>
          <w:p w:rsidR="00E572E7" w:rsidRPr="00B919A2" w:rsidRDefault="00E572E7" w:rsidP="007D2EAA">
            <w:pPr>
              <w:jc w:val="center"/>
              <w:rPr>
                <w:b/>
                <w:sz w:val="16"/>
                <w:szCs w:val="16"/>
              </w:rPr>
            </w:pPr>
          </w:p>
        </w:tc>
        <w:tc>
          <w:tcPr>
            <w:tcW w:w="810" w:type="dxa"/>
          </w:tcPr>
          <w:p w:rsidR="00E572E7" w:rsidRPr="00C425F3" w:rsidRDefault="00E572E7" w:rsidP="007D2EAA">
            <w:pPr>
              <w:jc w:val="center"/>
              <w:rPr>
                <w:b/>
                <w:sz w:val="16"/>
                <w:szCs w:val="16"/>
              </w:rPr>
            </w:pPr>
          </w:p>
        </w:tc>
        <w:tc>
          <w:tcPr>
            <w:tcW w:w="900" w:type="dxa"/>
          </w:tcPr>
          <w:p w:rsidR="00E572E7" w:rsidRPr="00C425F3" w:rsidRDefault="00E572E7" w:rsidP="007D2EAA">
            <w:pPr>
              <w:jc w:val="center"/>
              <w:rPr>
                <w:b/>
                <w:sz w:val="16"/>
                <w:szCs w:val="16"/>
              </w:rPr>
            </w:pPr>
          </w:p>
        </w:tc>
        <w:tc>
          <w:tcPr>
            <w:tcW w:w="1080" w:type="dxa"/>
          </w:tcPr>
          <w:p w:rsidR="00E572E7" w:rsidRPr="00C425F3" w:rsidRDefault="00E572E7" w:rsidP="007D2EAA">
            <w:pPr>
              <w:jc w:val="center"/>
              <w:rPr>
                <w:b/>
                <w:sz w:val="16"/>
                <w:szCs w:val="16"/>
              </w:rPr>
            </w:pPr>
          </w:p>
        </w:tc>
      </w:tr>
      <w:tr w:rsidR="00E572E7" w:rsidRPr="00C425F3" w:rsidTr="007D2EAA">
        <w:trPr>
          <w:trHeight w:val="195"/>
        </w:trPr>
        <w:tc>
          <w:tcPr>
            <w:tcW w:w="540" w:type="dxa"/>
          </w:tcPr>
          <w:p w:rsidR="00E572E7" w:rsidRPr="00C425F3" w:rsidRDefault="00E572E7" w:rsidP="007D2EAA">
            <w:pPr>
              <w:rPr>
                <w:b/>
                <w:sz w:val="16"/>
                <w:szCs w:val="16"/>
              </w:rPr>
            </w:pPr>
            <w:r w:rsidRPr="00C425F3">
              <w:rPr>
                <w:b/>
                <w:sz w:val="16"/>
                <w:szCs w:val="16"/>
              </w:rPr>
              <w:t>MFS</w:t>
            </w:r>
          </w:p>
        </w:tc>
        <w:tc>
          <w:tcPr>
            <w:tcW w:w="1080" w:type="dxa"/>
          </w:tcPr>
          <w:p w:rsidR="00E572E7" w:rsidRPr="00C425F3" w:rsidRDefault="00E572E7" w:rsidP="007D2EAA">
            <w:pPr>
              <w:jc w:val="center"/>
              <w:rPr>
                <w:b/>
                <w:sz w:val="16"/>
                <w:szCs w:val="16"/>
              </w:rPr>
            </w:pPr>
            <w:r>
              <w:rPr>
                <w:b/>
                <w:sz w:val="16"/>
                <w:szCs w:val="16"/>
              </w:rPr>
              <w:t>355</w:t>
            </w:r>
          </w:p>
        </w:tc>
        <w:tc>
          <w:tcPr>
            <w:tcW w:w="1080" w:type="dxa"/>
          </w:tcPr>
          <w:p w:rsidR="00E572E7" w:rsidRPr="00C425F3" w:rsidRDefault="00E572E7" w:rsidP="007D2EAA">
            <w:pPr>
              <w:jc w:val="center"/>
              <w:rPr>
                <w:b/>
                <w:sz w:val="16"/>
                <w:szCs w:val="16"/>
              </w:rPr>
            </w:pPr>
            <w:r>
              <w:rPr>
                <w:b/>
                <w:sz w:val="16"/>
                <w:szCs w:val="16"/>
              </w:rPr>
              <w:t>156 (43%)</w:t>
            </w:r>
          </w:p>
        </w:tc>
        <w:tc>
          <w:tcPr>
            <w:tcW w:w="1131" w:type="dxa"/>
          </w:tcPr>
          <w:p w:rsidR="00E572E7" w:rsidRPr="00C425F3" w:rsidRDefault="00E572E7" w:rsidP="007D2EAA">
            <w:pPr>
              <w:jc w:val="center"/>
              <w:rPr>
                <w:b/>
                <w:sz w:val="16"/>
                <w:szCs w:val="16"/>
              </w:rPr>
            </w:pPr>
            <w:r>
              <w:rPr>
                <w:b/>
                <w:sz w:val="16"/>
                <w:szCs w:val="16"/>
              </w:rPr>
              <w:t>321</w:t>
            </w:r>
          </w:p>
        </w:tc>
        <w:tc>
          <w:tcPr>
            <w:tcW w:w="1029" w:type="dxa"/>
          </w:tcPr>
          <w:p w:rsidR="00E572E7" w:rsidRPr="00C425F3" w:rsidRDefault="00E572E7" w:rsidP="007D2EAA">
            <w:pPr>
              <w:jc w:val="center"/>
              <w:rPr>
                <w:b/>
                <w:sz w:val="16"/>
                <w:szCs w:val="16"/>
              </w:rPr>
            </w:pPr>
            <w:r>
              <w:rPr>
                <w:b/>
                <w:sz w:val="16"/>
                <w:szCs w:val="16"/>
              </w:rPr>
              <w:t>199</w:t>
            </w:r>
          </w:p>
        </w:tc>
        <w:tc>
          <w:tcPr>
            <w:tcW w:w="810" w:type="dxa"/>
          </w:tcPr>
          <w:p w:rsidR="00E572E7" w:rsidRPr="00C425F3" w:rsidRDefault="00E572E7" w:rsidP="007D2EAA">
            <w:pPr>
              <w:jc w:val="center"/>
              <w:rPr>
                <w:b/>
                <w:sz w:val="16"/>
                <w:szCs w:val="16"/>
              </w:rPr>
            </w:pPr>
            <w:r>
              <w:rPr>
                <w:b/>
                <w:sz w:val="16"/>
                <w:szCs w:val="16"/>
              </w:rPr>
              <w:t>0</w:t>
            </w:r>
          </w:p>
        </w:tc>
        <w:tc>
          <w:tcPr>
            <w:tcW w:w="900" w:type="dxa"/>
          </w:tcPr>
          <w:p w:rsidR="00E572E7" w:rsidRPr="00C425F3" w:rsidRDefault="00E572E7" w:rsidP="007D2EAA">
            <w:pPr>
              <w:jc w:val="center"/>
              <w:rPr>
                <w:b/>
                <w:sz w:val="16"/>
                <w:szCs w:val="16"/>
              </w:rPr>
            </w:pPr>
            <w:r>
              <w:rPr>
                <w:b/>
                <w:sz w:val="16"/>
                <w:szCs w:val="16"/>
              </w:rPr>
              <w:t>130</w:t>
            </w:r>
          </w:p>
        </w:tc>
        <w:tc>
          <w:tcPr>
            <w:tcW w:w="810" w:type="dxa"/>
          </w:tcPr>
          <w:p w:rsidR="00E572E7" w:rsidRPr="00C425F3" w:rsidRDefault="00E572E7" w:rsidP="007D2EAA">
            <w:pPr>
              <w:jc w:val="center"/>
              <w:rPr>
                <w:b/>
                <w:sz w:val="16"/>
                <w:szCs w:val="16"/>
              </w:rPr>
            </w:pPr>
            <w:r>
              <w:rPr>
                <w:b/>
                <w:sz w:val="16"/>
                <w:szCs w:val="16"/>
              </w:rPr>
              <w:t>69</w:t>
            </w:r>
          </w:p>
        </w:tc>
        <w:tc>
          <w:tcPr>
            <w:tcW w:w="1080" w:type="dxa"/>
          </w:tcPr>
          <w:p w:rsidR="00E572E7" w:rsidRPr="00C425F3" w:rsidRDefault="00E572E7" w:rsidP="007D2EAA">
            <w:pPr>
              <w:jc w:val="center"/>
              <w:rPr>
                <w:b/>
                <w:sz w:val="16"/>
                <w:szCs w:val="16"/>
              </w:rPr>
            </w:pPr>
            <w:r>
              <w:rPr>
                <w:b/>
                <w:sz w:val="16"/>
                <w:szCs w:val="16"/>
              </w:rPr>
              <w:t>130</w:t>
            </w:r>
          </w:p>
        </w:tc>
        <w:tc>
          <w:tcPr>
            <w:tcW w:w="810" w:type="dxa"/>
          </w:tcPr>
          <w:p w:rsidR="00E572E7" w:rsidRPr="00C425F3" w:rsidRDefault="00E572E7" w:rsidP="007D2EAA">
            <w:pPr>
              <w:jc w:val="center"/>
              <w:rPr>
                <w:b/>
                <w:sz w:val="16"/>
                <w:szCs w:val="16"/>
              </w:rPr>
            </w:pPr>
            <w:r>
              <w:rPr>
                <w:b/>
                <w:sz w:val="16"/>
                <w:szCs w:val="16"/>
              </w:rPr>
              <w:t>101</w:t>
            </w:r>
          </w:p>
        </w:tc>
        <w:tc>
          <w:tcPr>
            <w:tcW w:w="900" w:type="dxa"/>
          </w:tcPr>
          <w:p w:rsidR="00E572E7" w:rsidRPr="00C425F3" w:rsidRDefault="00E572E7" w:rsidP="007D2EAA">
            <w:pPr>
              <w:jc w:val="center"/>
              <w:rPr>
                <w:b/>
                <w:sz w:val="16"/>
                <w:szCs w:val="16"/>
              </w:rPr>
            </w:pPr>
            <w:r>
              <w:rPr>
                <w:b/>
                <w:sz w:val="16"/>
                <w:szCs w:val="16"/>
              </w:rPr>
              <w:t>72</w:t>
            </w:r>
          </w:p>
        </w:tc>
        <w:tc>
          <w:tcPr>
            <w:tcW w:w="1080" w:type="dxa"/>
          </w:tcPr>
          <w:p w:rsidR="00E572E7" w:rsidRPr="00C425F3" w:rsidRDefault="00E572E7" w:rsidP="007D2EAA">
            <w:pPr>
              <w:jc w:val="center"/>
              <w:rPr>
                <w:b/>
                <w:sz w:val="16"/>
                <w:szCs w:val="16"/>
              </w:rPr>
            </w:pPr>
            <w:r>
              <w:rPr>
                <w:b/>
                <w:sz w:val="16"/>
                <w:szCs w:val="16"/>
              </w:rPr>
              <w:t>69</w:t>
            </w:r>
          </w:p>
        </w:tc>
      </w:tr>
      <w:tr w:rsidR="00E572E7" w:rsidRPr="00C425F3" w:rsidTr="007D2EAA">
        <w:trPr>
          <w:trHeight w:val="305"/>
        </w:trPr>
        <w:tc>
          <w:tcPr>
            <w:tcW w:w="540" w:type="dxa"/>
          </w:tcPr>
          <w:p w:rsidR="00E572E7" w:rsidRPr="00C425F3" w:rsidRDefault="00E572E7" w:rsidP="007D2EAA">
            <w:pPr>
              <w:rPr>
                <w:b/>
                <w:sz w:val="16"/>
                <w:szCs w:val="16"/>
              </w:rPr>
            </w:pPr>
          </w:p>
        </w:tc>
        <w:tc>
          <w:tcPr>
            <w:tcW w:w="1080" w:type="dxa"/>
          </w:tcPr>
          <w:p w:rsidR="00E572E7" w:rsidRPr="00C425F3" w:rsidRDefault="00E572E7" w:rsidP="007D2EAA">
            <w:pPr>
              <w:rPr>
                <w:b/>
                <w:sz w:val="16"/>
                <w:szCs w:val="16"/>
              </w:rPr>
            </w:pPr>
          </w:p>
        </w:tc>
        <w:tc>
          <w:tcPr>
            <w:tcW w:w="1080" w:type="dxa"/>
          </w:tcPr>
          <w:p w:rsidR="00E572E7" w:rsidRPr="00C425F3" w:rsidRDefault="00E572E7" w:rsidP="007D2EAA">
            <w:pPr>
              <w:rPr>
                <w:b/>
                <w:sz w:val="16"/>
                <w:szCs w:val="16"/>
              </w:rPr>
            </w:pPr>
          </w:p>
        </w:tc>
        <w:tc>
          <w:tcPr>
            <w:tcW w:w="1131" w:type="dxa"/>
          </w:tcPr>
          <w:p w:rsidR="00E572E7" w:rsidRPr="00C425F3" w:rsidRDefault="00E572E7" w:rsidP="007D2EAA">
            <w:pPr>
              <w:rPr>
                <w:b/>
                <w:sz w:val="16"/>
                <w:szCs w:val="16"/>
              </w:rPr>
            </w:pPr>
          </w:p>
        </w:tc>
        <w:tc>
          <w:tcPr>
            <w:tcW w:w="1029" w:type="dxa"/>
          </w:tcPr>
          <w:p w:rsidR="00E572E7" w:rsidRPr="00C425F3" w:rsidRDefault="00E572E7" w:rsidP="007D2EAA">
            <w:pPr>
              <w:rPr>
                <w:b/>
                <w:sz w:val="16"/>
                <w:szCs w:val="16"/>
              </w:rPr>
            </w:pPr>
          </w:p>
        </w:tc>
        <w:tc>
          <w:tcPr>
            <w:tcW w:w="810" w:type="dxa"/>
          </w:tcPr>
          <w:p w:rsidR="00E572E7" w:rsidRPr="00C425F3" w:rsidRDefault="00E572E7" w:rsidP="007D2EAA">
            <w:pPr>
              <w:rPr>
                <w:b/>
                <w:sz w:val="16"/>
                <w:szCs w:val="16"/>
              </w:rPr>
            </w:pPr>
          </w:p>
        </w:tc>
        <w:tc>
          <w:tcPr>
            <w:tcW w:w="900" w:type="dxa"/>
          </w:tcPr>
          <w:p w:rsidR="00E572E7" w:rsidRPr="00C425F3" w:rsidRDefault="00E572E7" w:rsidP="007D2EAA">
            <w:pPr>
              <w:rPr>
                <w:b/>
                <w:sz w:val="16"/>
                <w:szCs w:val="16"/>
              </w:rPr>
            </w:pPr>
          </w:p>
        </w:tc>
        <w:tc>
          <w:tcPr>
            <w:tcW w:w="810" w:type="dxa"/>
          </w:tcPr>
          <w:p w:rsidR="00E572E7" w:rsidRPr="00C425F3" w:rsidRDefault="00E572E7" w:rsidP="007D2EAA">
            <w:pPr>
              <w:rPr>
                <w:b/>
                <w:sz w:val="16"/>
                <w:szCs w:val="16"/>
              </w:rPr>
            </w:pPr>
          </w:p>
        </w:tc>
        <w:tc>
          <w:tcPr>
            <w:tcW w:w="1080" w:type="dxa"/>
          </w:tcPr>
          <w:p w:rsidR="00E572E7" w:rsidRPr="00C425F3" w:rsidRDefault="00E572E7" w:rsidP="007D2EAA">
            <w:pPr>
              <w:rPr>
                <w:b/>
                <w:sz w:val="16"/>
                <w:szCs w:val="16"/>
              </w:rPr>
            </w:pPr>
          </w:p>
        </w:tc>
        <w:tc>
          <w:tcPr>
            <w:tcW w:w="810" w:type="dxa"/>
          </w:tcPr>
          <w:p w:rsidR="00E572E7" w:rsidRPr="00C425F3" w:rsidRDefault="00E572E7" w:rsidP="007D2EAA">
            <w:pPr>
              <w:rPr>
                <w:b/>
                <w:sz w:val="16"/>
                <w:szCs w:val="16"/>
              </w:rPr>
            </w:pPr>
          </w:p>
        </w:tc>
        <w:tc>
          <w:tcPr>
            <w:tcW w:w="900" w:type="dxa"/>
          </w:tcPr>
          <w:p w:rsidR="00E572E7" w:rsidRPr="00C425F3" w:rsidRDefault="00E572E7" w:rsidP="007D2EAA">
            <w:pPr>
              <w:rPr>
                <w:b/>
                <w:sz w:val="16"/>
                <w:szCs w:val="16"/>
              </w:rPr>
            </w:pPr>
          </w:p>
        </w:tc>
        <w:tc>
          <w:tcPr>
            <w:tcW w:w="1080" w:type="dxa"/>
          </w:tcPr>
          <w:p w:rsidR="00E572E7" w:rsidRPr="00C425F3" w:rsidRDefault="00E572E7" w:rsidP="007D2EAA">
            <w:pPr>
              <w:rPr>
                <w:b/>
                <w:sz w:val="16"/>
                <w:szCs w:val="16"/>
              </w:rPr>
            </w:pPr>
          </w:p>
        </w:tc>
      </w:tr>
      <w:tr w:rsidR="00E572E7" w:rsidRPr="00C425F3" w:rsidTr="007D2EAA">
        <w:trPr>
          <w:trHeight w:val="195"/>
        </w:trPr>
        <w:tc>
          <w:tcPr>
            <w:tcW w:w="540" w:type="dxa"/>
          </w:tcPr>
          <w:p w:rsidR="00E572E7" w:rsidRPr="00575A90" w:rsidRDefault="00E572E7" w:rsidP="007D2EAA">
            <w:pPr>
              <w:rPr>
                <w:b/>
                <w:sz w:val="12"/>
                <w:szCs w:val="12"/>
              </w:rPr>
            </w:pPr>
            <w:r>
              <w:rPr>
                <w:b/>
                <w:sz w:val="12"/>
                <w:szCs w:val="12"/>
              </w:rPr>
              <w:t>TOTAL</w:t>
            </w:r>
          </w:p>
        </w:tc>
        <w:tc>
          <w:tcPr>
            <w:tcW w:w="1080" w:type="dxa"/>
          </w:tcPr>
          <w:p w:rsidR="00E572E7" w:rsidRPr="00C425F3" w:rsidRDefault="00E572E7" w:rsidP="007D2EAA">
            <w:pPr>
              <w:jc w:val="center"/>
              <w:rPr>
                <w:b/>
                <w:sz w:val="16"/>
                <w:szCs w:val="16"/>
              </w:rPr>
            </w:pPr>
            <w:r>
              <w:rPr>
                <w:b/>
                <w:sz w:val="16"/>
                <w:szCs w:val="16"/>
              </w:rPr>
              <w:t>1300</w:t>
            </w:r>
            <w:r>
              <w:rPr>
                <w:rStyle w:val="FootnoteReference"/>
                <w:b/>
                <w:sz w:val="16"/>
                <w:szCs w:val="16"/>
              </w:rPr>
              <w:footnoteReference w:id="3"/>
            </w:r>
          </w:p>
        </w:tc>
        <w:tc>
          <w:tcPr>
            <w:tcW w:w="1080" w:type="dxa"/>
          </w:tcPr>
          <w:p w:rsidR="00E572E7" w:rsidRPr="00C425F3" w:rsidRDefault="00E572E7" w:rsidP="007D2EAA">
            <w:pPr>
              <w:jc w:val="center"/>
              <w:rPr>
                <w:b/>
                <w:sz w:val="16"/>
                <w:szCs w:val="16"/>
              </w:rPr>
            </w:pPr>
            <w:r>
              <w:rPr>
                <w:b/>
                <w:sz w:val="16"/>
                <w:szCs w:val="16"/>
              </w:rPr>
              <w:t>741 (57%)</w:t>
            </w:r>
          </w:p>
        </w:tc>
        <w:tc>
          <w:tcPr>
            <w:tcW w:w="1131" w:type="dxa"/>
          </w:tcPr>
          <w:p w:rsidR="00E572E7" w:rsidRPr="00C425F3" w:rsidRDefault="00E572E7" w:rsidP="007D2EAA">
            <w:pPr>
              <w:jc w:val="center"/>
              <w:rPr>
                <w:b/>
                <w:sz w:val="16"/>
                <w:szCs w:val="16"/>
              </w:rPr>
            </w:pPr>
            <w:r>
              <w:rPr>
                <w:b/>
                <w:sz w:val="16"/>
                <w:szCs w:val="16"/>
              </w:rPr>
              <w:t>1150</w:t>
            </w:r>
          </w:p>
        </w:tc>
        <w:tc>
          <w:tcPr>
            <w:tcW w:w="1029" w:type="dxa"/>
            <w:shd w:val="clear" w:color="auto" w:fill="FFFFFF" w:themeFill="background1"/>
          </w:tcPr>
          <w:p w:rsidR="00E572E7" w:rsidRPr="00C425F3" w:rsidRDefault="00E572E7" w:rsidP="007D2EAA">
            <w:pPr>
              <w:jc w:val="center"/>
              <w:rPr>
                <w:b/>
                <w:sz w:val="16"/>
                <w:szCs w:val="16"/>
              </w:rPr>
            </w:pPr>
            <w:r>
              <w:rPr>
                <w:b/>
                <w:sz w:val="16"/>
                <w:szCs w:val="16"/>
              </w:rPr>
              <w:t>538</w:t>
            </w:r>
          </w:p>
        </w:tc>
        <w:tc>
          <w:tcPr>
            <w:tcW w:w="810" w:type="dxa"/>
            <w:shd w:val="clear" w:color="auto" w:fill="FFFFFF" w:themeFill="background1"/>
          </w:tcPr>
          <w:p w:rsidR="00E572E7" w:rsidRPr="00C425F3" w:rsidRDefault="00E572E7" w:rsidP="007D2EAA">
            <w:pPr>
              <w:jc w:val="center"/>
              <w:rPr>
                <w:b/>
                <w:sz w:val="16"/>
                <w:szCs w:val="16"/>
              </w:rPr>
            </w:pPr>
            <w:r>
              <w:rPr>
                <w:b/>
                <w:sz w:val="16"/>
                <w:szCs w:val="16"/>
              </w:rPr>
              <w:t>21</w:t>
            </w:r>
          </w:p>
        </w:tc>
        <w:tc>
          <w:tcPr>
            <w:tcW w:w="900" w:type="dxa"/>
            <w:shd w:val="clear" w:color="auto" w:fill="FFFFFF" w:themeFill="background1"/>
          </w:tcPr>
          <w:p w:rsidR="00E572E7" w:rsidRPr="00C425F3" w:rsidRDefault="00E572E7" w:rsidP="007D2EAA">
            <w:pPr>
              <w:jc w:val="center"/>
              <w:rPr>
                <w:b/>
                <w:sz w:val="16"/>
                <w:szCs w:val="16"/>
              </w:rPr>
            </w:pPr>
            <w:r>
              <w:rPr>
                <w:b/>
                <w:sz w:val="16"/>
                <w:szCs w:val="16"/>
              </w:rPr>
              <w:t>431</w:t>
            </w:r>
          </w:p>
        </w:tc>
        <w:tc>
          <w:tcPr>
            <w:tcW w:w="810" w:type="dxa"/>
            <w:shd w:val="clear" w:color="auto" w:fill="FFFFFF" w:themeFill="background1"/>
          </w:tcPr>
          <w:p w:rsidR="00E572E7" w:rsidRPr="00C425F3" w:rsidRDefault="00E572E7" w:rsidP="007D2EAA">
            <w:pPr>
              <w:jc w:val="center"/>
              <w:rPr>
                <w:b/>
                <w:sz w:val="16"/>
                <w:szCs w:val="16"/>
              </w:rPr>
            </w:pPr>
            <w:r>
              <w:rPr>
                <w:b/>
                <w:sz w:val="16"/>
                <w:szCs w:val="16"/>
              </w:rPr>
              <w:t>107</w:t>
            </w:r>
          </w:p>
        </w:tc>
        <w:tc>
          <w:tcPr>
            <w:tcW w:w="1080" w:type="dxa"/>
            <w:shd w:val="clear" w:color="auto" w:fill="FFFFFF" w:themeFill="background1"/>
          </w:tcPr>
          <w:p w:rsidR="00E572E7" w:rsidRPr="00C425F3" w:rsidRDefault="00E572E7" w:rsidP="007D2EAA">
            <w:pPr>
              <w:jc w:val="center"/>
              <w:rPr>
                <w:b/>
                <w:sz w:val="16"/>
                <w:szCs w:val="16"/>
              </w:rPr>
            </w:pPr>
            <w:r>
              <w:rPr>
                <w:b/>
                <w:sz w:val="16"/>
                <w:szCs w:val="16"/>
              </w:rPr>
              <w:t>431</w:t>
            </w:r>
          </w:p>
        </w:tc>
        <w:tc>
          <w:tcPr>
            <w:tcW w:w="810" w:type="dxa"/>
            <w:shd w:val="clear" w:color="auto" w:fill="FFFFFF" w:themeFill="background1"/>
          </w:tcPr>
          <w:p w:rsidR="00E572E7" w:rsidRPr="00C425F3" w:rsidRDefault="00E572E7" w:rsidP="007D2EAA">
            <w:pPr>
              <w:jc w:val="center"/>
              <w:rPr>
                <w:b/>
                <w:sz w:val="16"/>
                <w:szCs w:val="16"/>
              </w:rPr>
            </w:pPr>
            <w:r>
              <w:rPr>
                <w:b/>
                <w:sz w:val="16"/>
                <w:szCs w:val="16"/>
              </w:rPr>
              <w:t>278</w:t>
            </w:r>
          </w:p>
        </w:tc>
        <w:tc>
          <w:tcPr>
            <w:tcW w:w="900" w:type="dxa"/>
            <w:shd w:val="clear" w:color="auto" w:fill="FFFFFF" w:themeFill="background1"/>
          </w:tcPr>
          <w:p w:rsidR="00E572E7" w:rsidRPr="00C425F3" w:rsidRDefault="00E572E7" w:rsidP="007D2EAA">
            <w:pPr>
              <w:jc w:val="center"/>
              <w:rPr>
                <w:b/>
                <w:sz w:val="16"/>
                <w:szCs w:val="16"/>
              </w:rPr>
            </w:pPr>
            <w:r>
              <w:rPr>
                <w:b/>
                <w:sz w:val="16"/>
                <w:szCs w:val="16"/>
              </w:rPr>
              <w:t>184</w:t>
            </w:r>
          </w:p>
        </w:tc>
        <w:tc>
          <w:tcPr>
            <w:tcW w:w="1080" w:type="dxa"/>
            <w:shd w:val="clear" w:color="auto" w:fill="FFFFFF" w:themeFill="background1"/>
          </w:tcPr>
          <w:p w:rsidR="00E572E7" w:rsidRPr="00C425F3" w:rsidRDefault="00E572E7" w:rsidP="007D2EAA">
            <w:pPr>
              <w:jc w:val="center"/>
              <w:rPr>
                <w:b/>
                <w:sz w:val="16"/>
                <w:szCs w:val="16"/>
              </w:rPr>
            </w:pPr>
            <w:r>
              <w:rPr>
                <w:b/>
                <w:sz w:val="16"/>
                <w:szCs w:val="16"/>
              </w:rPr>
              <w:t>107</w:t>
            </w:r>
          </w:p>
        </w:tc>
      </w:tr>
    </w:tbl>
    <w:p w:rsidR="00E572E7" w:rsidRDefault="00E572E7" w:rsidP="00E572E7">
      <w:pPr>
        <w:spacing w:after="0"/>
        <w:rPr>
          <w:b/>
        </w:rPr>
      </w:pPr>
    </w:p>
    <w:p w:rsidR="00E572E7" w:rsidRDefault="00E572E7" w:rsidP="00E572E7">
      <w:pPr>
        <w:spacing w:after="0"/>
        <w:rPr>
          <w:b/>
        </w:rPr>
      </w:pPr>
    </w:p>
    <w:p w:rsidR="00E572E7" w:rsidRDefault="00E572E7" w:rsidP="000C5910">
      <w:pPr>
        <w:spacing w:after="0"/>
      </w:pPr>
      <w:r>
        <w:t xml:space="preserve">Although there continues to be disparities within the percentages of positive recommendations between the two agencies, Performance Measure data shows an increase in the number of </w:t>
      </w:r>
      <w:r w:rsidR="00944086">
        <w:t>Class Members</w:t>
      </w:r>
      <w:r>
        <w:t xml:space="preserve"> approached shows that positive recommendations for transition remain at levels  consistent with prior reports and noted a decrease in the number of class member denials since the last semi-</w:t>
      </w:r>
      <w:r>
        <w:lastRenderedPageBreak/>
        <w:t xml:space="preserve">annual report. </w:t>
      </w:r>
      <w:r w:rsidRPr="005D63FE">
        <w:t xml:space="preserve">The State </w:t>
      </w:r>
      <w:r>
        <w:t>P</w:t>
      </w:r>
      <w:r w:rsidRPr="005D63FE">
        <w:t xml:space="preserve">artners will continue to engage in weekly collaborative conference calls with MFS and LSSI to </w:t>
      </w:r>
      <w:r>
        <w:t xml:space="preserve">fine tune </w:t>
      </w:r>
      <w:r w:rsidRPr="005D63FE">
        <w:t>the review process</w:t>
      </w:r>
      <w:r>
        <w:t xml:space="preserve"> and to </w:t>
      </w:r>
      <w:r w:rsidRPr="005D63FE">
        <w:t>trouble</w:t>
      </w:r>
      <w:r w:rsidR="00DA1DEE">
        <w:t>-</w:t>
      </w:r>
      <w:r w:rsidR="004167A5" w:rsidRPr="005D63FE">
        <w:t>shoot issues</w:t>
      </w:r>
      <w:r w:rsidRPr="005D63FE">
        <w:t xml:space="preserve"> imp</w:t>
      </w:r>
      <w:r>
        <w:t xml:space="preserve">acting </w:t>
      </w:r>
      <w:r w:rsidRPr="005D63FE">
        <w:t>the review process</w:t>
      </w:r>
      <w:r>
        <w:t xml:space="preserve">. Trainings will continue to be scheduled as needed </w:t>
      </w:r>
      <w:r w:rsidRPr="005D63FE">
        <w:t>to enhance Resident Review processes.</w:t>
      </w:r>
    </w:p>
    <w:p w:rsidR="005B47C2" w:rsidRDefault="005B47C2" w:rsidP="000C5910">
      <w:pPr>
        <w:spacing w:after="0"/>
        <w:rPr>
          <w:b/>
        </w:rPr>
      </w:pPr>
    </w:p>
    <w:p w:rsidR="006D3282" w:rsidRPr="00615E6E" w:rsidRDefault="006D3282" w:rsidP="006D3282">
      <w:pPr>
        <w:rPr>
          <w:b/>
        </w:rPr>
      </w:pPr>
      <w:r w:rsidRPr="00615E6E">
        <w:rPr>
          <w:b/>
        </w:rPr>
        <w:t>Specialized Assessments</w:t>
      </w:r>
    </w:p>
    <w:p w:rsidR="006D3282" w:rsidRDefault="006D3282" w:rsidP="00475BB9">
      <w:pPr>
        <w:spacing w:after="0"/>
      </w:pPr>
      <w:r>
        <w:t xml:space="preserve">In May 2015, contracts were finalized and executed with the University of Illinois/Departments of Psychiatry and Occupational Therapy to implement specialized assessments for Williams </w:t>
      </w:r>
      <w:r w:rsidR="00944086">
        <w:t>Class Members</w:t>
      </w:r>
      <w:r>
        <w:t xml:space="preserve"> when there is a suspicio</w:t>
      </w:r>
      <w:r w:rsidR="00DA1DEE">
        <w:t>n</w:t>
      </w:r>
      <w:r>
        <w:t xml:space="preserve"> of degenerative brain diseases (dementia/ Alzheimer’s) or severe cognitive impairment that may present risk barriers to community transition.   The negotiation, budgeting and contracting processes took longer than initially anticipated.  As a result an unexpected delay occurred with implementation.  Due to the delay, these assessments will bridge fiscal years 2015 and 2016 to assure that </w:t>
      </w:r>
      <w:r w:rsidR="00B9059F">
        <w:t>identified</w:t>
      </w:r>
      <w:r>
        <w:t xml:space="preserve"> </w:t>
      </w:r>
      <w:r w:rsidR="00944086">
        <w:t>Class Members</w:t>
      </w:r>
      <w:r w:rsidR="00B9059F">
        <w:t>,</w:t>
      </w:r>
      <w:r>
        <w:t xml:space="preserve"> where the suspicion exist</w:t>
      </w:r>
      <w:r w:rsidR="00DA1DEE">
        <w:t>s</w:t>
      </w:r>
      <w:r w:rsidR="00B9059F">
        <w:t>,</w:t>
      </w:r>
      <w:r>
        <w:t xml:space="preserve"> will have benefit of these specialized assessments.  Subsequently, the Division of Mental Health (DMH) has now convened meetings with the respective department chair</w:t>
      </w:r>
      <w:r w:rsidR="00B9059F">
        <w:t>-</w:t>
      </w:r>
      <w:r>
        <w:t xml:space="preserve">persons to coordinate activities needed to schedule individual assessments for identified </w:t>
      </w:r>
      <w:r w:rsidR="00944086">
        <w:t>Class Members</w:t>
      </w:r>
      <w:r>
        <w:t xml:space="preserve">.   </w:t>
      </w:r>
    </w:p>
    <w:p w:rsidR="00475BB9" w:rsidRDefault="00475BB9" w:rsidP="00475BB9">
      <w:pPr>
        <w:spacing w:after="0"/>
      </w:pPr>
    </w:p>
    <w:p w:rsidR="006D3282" w:rsidRDefault="006D3282" w:rsidP="00475BB9">
      <w:pPr>
        <w:spacing w:after="0"/>
      </w:pPr>
      <w:r>
        <w:t>The Department of Occupational Therapy has subcontracted to be trained by a Philadelphia group on the Performance Assessment of Self-Care Skills (PASS) instrument.  PASS is a performance-based, criterion-referenced, observational tool designed to assist practitioners in documenting functional status and change.  It consists of 26 core tasks, categorized in 4 functional domains: 5 functional mobility, 3 personal self-care, 14 instrumental activities of daily living (IADL) with cognitive emphasis, and 2 IADL with a physical emphasis.  The PASS is also designed to assist practitioners in treatment and discharge planning by identifying the type and amount of assistance required for successful task performance.  These assessments will occur in the clinic and in other local natural settings.  The neuropsychological assessments will occur in the clinic.</w:t>
      </w:r>
    </w:p>
    <w:p w:rsidR="00475BB9" w:rsidRDefault="00475BB9" w:rsidP="00475BB9">
      <w:pPr>
        <w:spacing w:after="0"/>
      </w:pPr>
    </w:p>
    <w:p w:rsidR="006D3282" w:rsidRDefault="006D3282" w:rsidP="00475BB9">
      <w:pPr>
        <w:spacing w:after="0"/>
      </w:pPr>
      <w:r>
        <w:t xml:space="preserve">DMH held a joint teleconference with the IMD/SMHRF administrators (owners and lobbyist) to present the plan for obtaining these assessments and how the coordination will occur between DMH, the respective testers and the IMDs (for transport and staff accompaniment).   Due to HIPAA requirements, </w:t>
      </w:r>
      <w:r w:rsidR="00DA1DEE">
        <w:t xml:space="preserve">for </w:t>
      </w:r>
      <w:r>
        <w:t xml:space="preserve">each </w:t>
      </w:r>
      <w:r w:rsidR="00944086">
        <w:t>Class Member</w:t>
      </w:r>
      <w:r>
        <w:t xml:space="preserve"> to receive a specialize</w:t>
      </w:r>
      <w:r w:rsidR="00DA1DEE">
        <w:t>d</w:t>
      </w:r>
      <w:r>
        <w:t xml:space="preserve"> assessment, a Release of Information </w:t>
      </w:r>
      <w:r w:rsidR="00DA1DEE">
        <w:t xml:space="preserve">must be </w:t>
      </w:r>
      <w:r>
        <w:t xml:space="preserve">completed so that the IMDs can release clinical records.  NAMI Outreach will work in concert with the IMD designee to obtain </w:t>
      </w:r>
      <w:r w:rsidR="00944086">
        <w:t>Class Members</w:t>
      </w:r>
      <w:r>
        <w:t xml:space="preserve">’ signatures </w:t>
      </w:r>
      <w:r w:rsidR="00DA1DEE">
        <w:t xml:space="preserve">on the </w:t>
      </w:r>
      <w:r>
        <w:t xml:space="preserve">Release of Information form. </w:t>
      </w:r>
    </w:p>
    <w:p w:rsidR="00475BB9" w:rsidRDefault="00475BB9" w:rsidP="00475BB9">
      <w:pPr>
        <w:spacing w:after="0"/>
      </w:pPr>
    </w:p>
    <w:p w:rsidR="006D3282" w:rsidRDefault="006D3282" w:rsidP="00475BB9">
      <w:pPr>
        <w:spacing w:after="0"/>
      </w:pPr>
      <w:r>
        <w:t xml:space="preserve">The initial focus will start with those </w:t>
      </w:r>
      <w:r w:rsidR="00944086">
        <w:t>Class Members</w:t>
      </w:r>
      <w:r>
        <w:t xml:space="preserve"> who have not been recommended</w:t>
      </w:r>
      <w:r w:rsidR="00B9059F">
        <w:t xml:space="preserve"> for </w:t>
      </w:r>
      <w:r w:rsidR="00341422">
        <w:t>transition via</w:t>
      </w:r>
      <w:r>
        <w:t xml:space="preserve"> the Resident Review process in order of their initial assessment dates.  The next wave will focus on those </w:t>
      </w:r>
      <w:r w:rsidR="00944086">
        <w:t>Class Members</w:t>
      </w:r>
      <w:r>
        <w:t xml:space="preserve"> who were initially approved for transition, but the community agency (through it</w:t>
      </w:r>
      <w:r w:rsidR="00DA1DEE">
        <w:t>’</w:t>
      </w:r>
      <w:r>
        <w:t>s internal assessments) has subsequently identified suspicion of dementia or severe cognitive impairments.</w:t>
      </w:r>
      <w:r w:rsidRPr="003B008E">
        <w:t xml:space="preserve"> </w:t>
      </w:r>
      <w:r>
        <w:t xml:space="preserve"> With best forecasting, these specialized assessments should start in the month of June 2015.  </w:t>
      </w:r>
    </w:p>
    <w:p w:rsidR="00763B03" w:rsidRDefault="00763B03" w:rsidP="005729B1">
      <w:pPr>
        <w:rPr>
          <w:rFonts w:cs="Times New Roman"/>
          <w:b/>
        </w:rPr>
      </w:pPr>
    </w:p>
    <w:p w:rsidR="005729B1" w:rsidRPr="0017206E" w:rsidRDefault="005729B1" w:rsidP="005729B1">
      <w:pPr>
        <w:rPr>
          <w:rFonts w:cs="Times New Roman"/>
          <w:b/>
        </w:rPr>
      </w:pPr>
      <w:r w:rsidRPr="0017206E">
        <w:rPr>
          <w:rFonts w:cs="Times New Roman"/>
          <w:b/>
        </w:rPr>
        <w:lastRenderedPageBreak/>
        <w:t>Clinical Review</w:t>
      </w:r>
    </w:p>
    <w:p w:rsidR="005729B1" w:rsidRDefault="005729B1" w:rsidP="00A461FE">
      <w:pPr>
        <w:spacing w:after="0"/>
        <w:rPr>
          <w:rFonts w:cs="Times New Roman"/>
        </w:rPr>
      </w:pPr>
      <w:r w:rsidRPr="0017206E">
        <w:rPr>
          <w:rFonts w:cs="Times New Roman"/>
        </w:rPr>
        <w:t xml:space="preserve">During the reporting period 82 Resident Reviews were received for Clinical Review and referred to one of the respective William provider agencies for a second level, paper review.  Of the 82 Clinical Reviews conducted, there were 76 CRT’s which were supported, </w:t>
      </w:r>
      <w:r w:rsidR="005E147B" w:rsidRPr="0017206E">
        <w:rPr>
          <w:rFonts w:cs="Times New Roman"/>
        </w:rPr>
        <w:t>i.e.</w:t>
      </w:r>
      <w:r w:rsidRPr="0017206E">
        <w:rPr>
          <w:rFonts w:cs="Times New Roman"/>
        </w:rPr>
        <w:t xml:space="preserve">, concurrence with the recommendations of the Resident Reviewers.  There were 6 CRT’s which were overturned by the clinical review team, thereby recommending transition for those </w:t>
      </w:r>
      <w:r w:rsidR="00944086">
        <w:rPr>
          <w:rFonts w:cs="Times New Roman"/>
        </w:rPr>
        <w:t>Class Members</w:t>
      </w:r>
      <w:r w:rsidRPr="0017206E">
        <w:rPr>
          <w:rFonts w:cs="Times New Roman"/>
        </w:rPr>
        <w:t>.</w:t>
      </w:r>
    </w:p>
    <w:p w:rsidR="00A461FE" w:rsidRPr="0017206E" w:rsidRDefault="00A461FE" w:rsidP="00A461FE">
      <w:pPr>
        <w:spacing w:after="0"/>
        <w:rPr>
          <w:rFonts w:cs="Times New Roman"/>
        </w:rPr>
      </w:pPr>
    </w:p>
    <w:p w:rsidR="005729B1" w:rsidRDefault="005729B1" w:rsidP="00A461FE">
      <w:pPr>
        <w:spacing w:after="0"/>
        <w:rPr>
          <w:rFonts w:cs="Times New Roman"/>
        </w:rPr>
      </w:pPr>
      <w:r w:rsidRPr="0017206E">
        <w:rPr>
          <w:rFonts w:cs="Times New Roman"/>
        </w:rPr>
        <w:t>There was 1 appeal submitted to DMH during this period.  The appeal was based on the findings of the Resident Review.  The appeal recommendation was supported by DMH and in agreement with the findings of the Resident Reviewer.</w:t>
      </w:r>
    </w:p>
    <w:p w:rsidR="00A461FE" w:rsidRPr="0017206E" w:rsidRDefault="00A461FE" w:rsidP="00A461FE">
      <w:pPr>
        <w:spacing w:after="0"/>
        <w:rPr>
          <w:rFonts w:cs="Times New Roman"/>
        </w:rPr>
      </w:pPr>
    </w:p>
    <w:p w:rsidR="005729B1" w:rsidRDefault="005729B1" w:rsidP="00A461FE">
      <w:pPr>
        <w:spacing w:after="0"/>
        <w:rPr>
          <w:rFonts w:cs="Times New Roman"/>
        </w:rPr>
      </w:pPr>
      <w:r w:rsidRPr="0017206E">
        <w:rPr>
          <w:rFonts w:cs="Times New Roman"/>
        </w:rPr>
        <w:t>Northpointe Resources Inc. has assumed responsibility for conducting all Clinical Reviews in the Lake County geographical area.  However, whenever a Class Member expresses preference to live in areas where there is no existing Williams contracted agencies, these cases are distributed among the other existing Williams agencies for the Clinical Review process.</w:t>
      </w:r>
    </w:p>
    <w:p w:rsidR="00A461FE" w:rsidRPr="0017206E" w:rsidRDefault="00A461FE" w:rsidP="00A461FE">
      <w:pPr>
        <w:spacing w:after="0"/>
        <w:rPr>
          <w:rFonts w:cs="Times New Roman"/>
        </w:rPr>
      </w:pPr>
    </w:p>
    <w:p w:rsidR="005729B1" w:rsidRDefault="005729B1" w:rsidP="00A461FE">
      <w:pPr>
        <w:spacing w:after="0"/>
        <w:rPr>
          <w:rFonts w:cs="Times New Roman"/>
        </w:rPr>
      </w:pPr>
      <w:r w:rsidRPr="0017206E">
        <w:rPr>
          <w:rFonts w:cs="Times New Roman"/>
        </w:rPr>
        <w:t xml:space="preserve">The Clinical Review Coordinator continues to convene weekly teleconference calls with all of the Williams agencies.  During these calls, policies and procedures </w:t>
      </w:r>
      <w:r w:rsidR="004167A5" w:rsidRPr="0017206E">
        <w:rPr>
          <w:rFonts w:cs="Times New Roman"/>
        </w:rPr>
        <w:t>are discussed</w:t>
      </w:r>
      <w:r w:rsidRPr="0017206E">
        <w:rPr>
          <w:rFonts w:cs="Times New Roman"/>
        </w:rPr>
        <w:t xml:space="preserve"> in an effort to improve the overall quality of our Clinical Review process.  The calls also serve as a platform to discuss complicated issues facing a clinical review team which require feedback.</w:t>
      </w:r>
    </w:p>
    <w:p w:rsidR="00A461FE" w:rsidRPr="0017206E" w:rsidRDefault="00A461FE" w:rsidP="00A461FE">
      <w:pPr>
        <w:spacing w:after="0"/>
        <w:rPr>
          <w:rFonts w:cs="Times New Roman"/>
        </w:rPr>
      </w:pPr>
    </w:p>
    <w:p w:rsidR="005729B1" w:rsidRDefault="005729B1" w:rsidP="00A461FE">
      <w:pPr>
        <w:spacing w:after="0"/>
        <w:rPr>
          <w:rFonts w:cs="Times New Roman"/>
        </w:rPr>
      </w:pPr>
      <w:r w:rsidRPr="0017206E">
        <w:rPr>
          <w:rFonts w:cs="Times New Roman"/>
        </w:rPr>
        <w:t xml:space="preserve"> </w:t>
      </w:r>
    </w:p>
    <w:p w:rsidR="00D525B9" w:rsidRDefault="00D525B9">
      <w:pPr>
        <w:rPr>
          <w:rFonts w:cs="Times New Roman"/>
        </w:rPr>
      </w:pPr>
      <w:r>
        <w:rPr>
          <w:rFonts w:cs="Times New Roman"/>
        </w:rPr>
        <w:br w:type="page"/>
      </w:r>
    </w:p>
    <w:p w:rsidR="001D707D" w:rsidRPr="001D707D" w:rsidRDefault="00D37536" w:rsidP="00D37536">
      <w:pPr>
        <w:jc w:val="center"/>
        <w:rPr>
          <w:b/>
          <w:sz w:val="24"/>
          <w:szCs w:val="24"/>
          <w:u w:val="thick"/>
        </w:rPr>
      </w:pPr>
      <w:r w:rsidRPr="000352EF">
        <w:rPr>
          <w:b/>
          <w:sz w:val="24"/>
          <w:szCs w:val="24"/>
        </w:rPr>
        <w:lastRenderedPageBreak/>
        <w:t>TRANSITION COORDINATION/COMMUNITY SERVICES</w:t>
      </w:r>
    </w:p>
    <w:p w:rsidR="00D37536" w:rsidRDefault="004F627C" w:rsidP="00D37536">
      <w:pPr>
        <w:jc w:val="center"/>
      </w:pPr>
      <w:r>
        <w:rPr>
          <w:b/>
          <w:u w:val="thick"/>
        </w:rPr>
        <w:t>_________________________________________________________</w:t>
      </w:r>
    </w:p>
    <w:p w:rsidR="00447DBA" w:rsidRPr="00352A6C" w:rsidRDefault="002527D6" w:rsidP="00EA1DAB">
      <w:r w:rsidRPr="000F5A0B">
        <w:t xml:space="preserve">The </w:t>
      </w:r>
      <w:r w:rsidR="00033AA9" w:rsidRPr="000F5A0B">
        <w:t>eleven</w:t>
      </w:r>
      <w:r w:rsidRPr="000F5A0B">
        <w:t xml:space="preserve"> (1</w:t>
      </w:r>
      <w:r w:rsidR="00033AA9" w:rsidRPr="000F5A0B">
        <w:t>1</w:t>
      </w:r>
      <w:r w:rsidRPr="000F5A0B">
        <w:t xml:space="preserve">) community mental health centers contracted to provide the full array of Williams services and the seven (7) agencies contracted to provide ‘transition only’ and existing Rule 132 services continue to pursue efforts to expeditiously and effectively transition </w:t>
      </w:r>
      <w:r w:rsidR="00944086">
        <w:t>Class Members</w:t>
      </w:r>
      <w:r w:rsidRPr="000F5A0B">
        <w:t xml:space="preserve"> to the community.  A total of </w:t>
      </w:r>
      <w:r w:rsidR="007E25D1">
        <w:t>2,922</w:t>
      </w:r>
      <w:r w:rsidRPr="000F5A0B">
        <w:rPr>
          <w:color w:val="FF0000"/>
        </w:rPr>
        <w:t xml:space="preserve"> </w:t>
      </w:r>
      <w:r w:rsidR="00944086">
        <w:t>Class Members</w:t>
      </w:r>
      <w:r w:rsidRPr="000F5A0B">
        <w:t xml:space="preserve"> were </w:t>
      </w:r>
      <w:r w:rsidRPr="000F5A0B">
        <w:rPr>
          <w:u w:val="single"/>
        </w:rPr>
        <w:t>referred</w:t>
      </w:r>
      <w:r w:rsidRPr="000F5A0B">
        <w:t xml:space="preserve"> to these agencies to engage and initiate transition activities, based on choice of geographic preference or provider agency. </w:t>
      </w:r>
      <w:r w:rsidR="00267BBF">
        <w:t xml:space="preserve"> Of the 2,922 referred, there were 632 who declined to transition.</w:t>
      </w:r>
      <w:r w:rsidRPr="000F5A0B">
        <w:t xml:space="preserve">   As of this date, </w:t>
      </w:r>
      <w:r w:rsidR="007E25D1">
        <w:t>1269</w:t>
      </w:r>
      <w:r w:rsidRPr="000F5A0B">
        <w:rPr>
          <w:color w:val="FF0000"/>
        </w:rPr>
        <w:t xml:space="preserve"> </w:t>
      </w:r>
      <w:r w:rsidR="00944086">
        <w:t>Class Members</w:t>
      </w:r>
      <w:r w:rsidRPr="000F5A0B">
        <w:t xml:space="preserve"> have transitioned, have signed leases to transition or signed leases and subsequently decided not to proceed with transition.   </w:t>
      </w:r>
    </w:p>
    <w:p w:rsidR="00D56AE9" w:rsidRDefault="003C27D8" w:rsidP="00D56AE9">
      <w:pPr>
        <w:rPr>
          <w:b/>
          <w:u w:val="single"/>
        </w:rPr>
      </w:pPr>
      <w:r w:rsidRPr="000352EF">
        <w:rPr>
          <w:b/>
          <w:u w:val="single"/>
        </w:rPr>
        <w:t xml:space="preserve">Unable to </w:t>
      </w:r>
      <w:r w:rsidR="00D56AE9" w:rsidRPr="000352EF">
        <w:rPr>
          <w:b/>
          <w:u w:val="single"/>
        </w:rPr>
        <w:t>S</w:t>
      </w:r>
      <w:r w:rsidRPr="000352EF">
        <w:rPr>
          <w:b/>
          <w:u w:val="single"/>
        </w:rPr>
        <w:t>erve</w:t>
      </w:r>
      <w:r w:rsidRPr="0078621A">
        <w:rPr>
          <w:b/>
          <w:u w:val="single"/>
        </w:rPr>
        <w:t xml:space="preserve"> </w:t>
      </w:r>
    </w:p>
    <w:p w:rsidR="002E2CEE" w:rsidRDefault="00F84870" w:rsidP="00EA1DAB">
      <w:r>
        <w:t xml:space="preserve">The “Unable to Serve” list continues to be on the forefront </w:t>
      </w:r>
      <w:r w:rsidR="00B63CD8">
        <w:t xml:space="preserve">for development </w:t>
      </w:r>
      <w:r>
        <w:t xml:space="preserve">of strategies to address a more challenging, complex profile of </w:t>
      </w:r>
      <w:r w:rsidR="00944086">
        <w:t>Class Member</w:t>
      </w:r>
      <w:r>
        <w:t xml:space="preserve"> who present</w:t>
      </w:r>
      <w:r w:rsidR="00DA1DEE">
        <w:t>s</w:t>
      </w:r>
      <w:r>
        <w:t xml:space="preserve"> risk factors</w:t>
      </w:r>
      <w:r w:rsidR="009643D6">
        <w:t xml:space="preserve"> and safety concerns</w:t>
      </w:r>
      <w:r>
        <w:t xml:space="preserve"> for community agencies. </w:t>
      </w:r>
      <w:r w:rsidR="0078621A" w:rsidRPr="00352A6C">
        <w:t xml:space="preserve"> </w:t>
      </w:r>
      <w:r>
        <w:t xml:space="preserve"> While the </w:t>
      </w:r>
      <w:r w:rsidR="00EB4722">
        <w:t>implementation of the Cluster Housing model had a very small impact on th</w:t>
      </w:r>
      <w:r w:rsidR="00E37123">
        <w:t xml:space="preserve">e overall numbers </w:t>
      </w:r>
      <w:r w:rsidR="00EB4722">
        <w:t xml:space="preserve">of </w:t>
      </w:r>
      <w:r w:rsidR="00944086">
        <w:t>Class Members</w:t>
      </w:r>
      <w:r w:rsidR="00E37123">
        <w:t xml:space="preserve"> categorized as Unable to Serve</w:t>
      </w:r>
      <w:r w:rsidR="00EB4722">
        <w:t xml:space="preserve">, as more and more </w:t>
      </w:r>
      <w:r w:rsidR="00944086">
        <w:t>Class Members</w:t>
      </w:r>
      <w:r w:rsidR="00EB4722">
        <w:t xml:space="preserve"> are assessed</w:t>
      </w:r>
      <w:r w:rsidR="009643D6">
        <w:t xml:space="preserve"> who have transition challenges</w:t>
      </w:r>
      <w:r w:rsidR="00EB4722">
        <w:t xml:space="preserve"> the list continues to grow.  </w:t>
      </w:r>
    </w:p>
    <w:p w:rsidR="004C497F" w:rsidRDefault="0078621A" w:rsidP="00EA1DAB">
      <w:r w:rsidRPr="00352A6C">
        <w:t>Using current compliance dat</w:t>
      </w:r>
      <w:r>
        <w:t>a</w:t>
      </w:r>
      <w:r w:rsidR="00EB4722">
        <w:t xml:space="preserve"> for this reporting period</w:t>
      </w:r>
      <w:r>
        <w:t>, there are 2</w:t>
      </w:r>
      <w:r w:rsidR="002E2CEE">
        <w:t>86</w:t>
      </w:r>
      <w:r w:rsidRPr="00352A6C">
        <w:t xml:space="preserve"> </w:t>
      </w:r>
      <w:r w:rsidR="00944086">
        <w:t>Class Members</w:t>
      </w:r>
      <w:r w:rsidRPr="00352A6C">
        <w:t xml:space="preserve"> (8%) who fall within this category. </w:t>
      </w:r>
      <w:r w:rsidR="003B0831" w:rsidRPr="00352A6C">
        <w:t xml:space="preserve">The </w:t>
      </w:r>
      <w:r w:rsidR="00AC44C0" w:rsidRPr="00352A6C">
        <w:t xml:space="preserve">chart </w:t>
      </w:r>
      <w:r w:rsidR="003B0831" w:rsidRPr="00352A6C">
        <w:t xml:space="preserve">below aggregates the categories of </w:t>
      </w:r>
      <w:r w:rsidR="00944086">
        <w:t>Class Members</w:t>
      </w:r>
      <w:r w:rsidR="003B0831">
        <w:t xml:space="preserve"> who have been </w:t>
      </w:r>
      <w:r w:rsidR="003B0831" w:rsidRPr="00352A6C">
        <w:t>identified as ‘Unable to Serve’</w:t>
      </w:r>
      <w:r w:rsidR="003B0831">
        <w:t>.</w:t>
      </w:r>
    </w:p>
    <w:tbl>
      <w:tblPr>
        <w:tblW w:w="0" w:type="auto"/>
        <w:tblInd w:w="1380" w:type="dxa"/>
        <w:tblLayout w:type="fixed"/>
        <w:tblCellMar>
          <w:left w:w="30" w:type="dxa"/>
          <w:right w:w="30" w:type="dxa"/>
        </w:tblCellMar>
        <w:tblLook w:val="0000" w:firstRow="0" w:lastRow="0" w:firstColumn="0" w:lastColumn="0" w:noHBand="0" w:noVBand="0"/>
      </w:tblPr>
      <w:tblGrid>
        <w:gridCol w:w="3780"/>
        <w:gridCol w:w="2340"/>
      </w:tblGrid>
      <w:tr w:rsidR="0078621A" w:rsidRPr="0078621A" w:rsidTr="0078621A">
        <w:trPr>
          <w:trHeight w:val="305"/>
        </w:trPr>
        <w:tc>
          <w:tcPr>
            <w:tcW w:w="3780" w:type="dxa"/>
            <w:tcBorders>
              <w:top w:val="nil"/>
              <w:left w:val="nil"/>
              <w:bottom w:val="nil"/>
              <w:right w:val="nil"/>
            </w:tcBorders>
          </w:tcPr>
          <w:p w:rsidR="0078621A" w:rsidRPr="0078621A" w:rsidRDefault="0078621A" w:rsidP="00EA1DAB">
            <w:pPr>
              <w:autoSpaceDE w:val="0"/>
              <w:autoSpaceDN w:val="0"/>
              <w:adjustRightInd w:val="0"/>
              <w:spacing w:after="0"/>
              <w:rPr>
                <w:rFonts w:ascii="Calibri" w:hAnsi="Calibri" w:cs="Calibri"/>
                <w:color w:val="000000"/>
              </w:rPr>
            </w:pPr>
          </w:p>
        </w:tc>
        <w:tc>
          <w:tcPr>
            <w:tcW w:w="2340" w:type="dxa"/>
            <w:tcBorders>
              <w:top w:val="nil"/>
              <w:left w:val="nil"/>
              <w:bottom w:val="nil"/>
              <w:right w:val="nil"/>
            </w:tcBorders>
          </w:tcPr>
          <w:p w:rsidR="0078621A" w:rsidRPr="0078621A" w:rsidRDefault="0078621A" w:rsidP="00EA1DAB">
            <w:pPr>
              <w:autoSpaceDE w:val="0"/>
              <w:autoSpaceDN w:val="0"/>
              <w:adjustRightInd w:val="0"/>
              <w:spacing w:after="0"/>
              <w:jc w:val="right"/>
              <w:rPr>
                <w:rFonts w:ascii="Calibri" w:hAnsi="Calibri" w:cs="Calibri"/>
                <w:color w:val="000000"/>
              </w:rPr>
            </w:pPr>
          </w:p>
        </w:tc>
      </w:tr>
      <w:tr w:rsidR="0078621A" w:rsidRPr="0078621A" w:rsidTr="0078621A">
        <w:trPr>
          <w:trHeight w:val="305"/>
        </w:trPr>
        <w:tc>
          <w:tcPr>
            <w:tcW w:w="3780" w:type="dxa"/>
            <w:tcBorders>
              <w:top w:val="single" w:sz="18" w:space="0" w:color="000000"/>
              <w:left w:val="single" w:sz="18" w:space="0" w:color="000000"/>
              <w:bottom w:val="single" w:sz="6" w:space="0" w:color="000000"/>
              <w:right w:val="single" w:sz="6" w:space="0" w:color="000000"/>
            </w:tcBorders>
            <w:shd w:val="solid" w:color="C0C0C0" w:fill="000000"/>
          </w:tcPr>
          <w:p w:rsidR="0078621A" w:rsidRPr="004D1BF2" w:rsidRDefault="0078621A" w:rsidP="00EA1DAB">
            <w:pPr>
              <w:autoSpaceDE w:val="0"/>
              <w:autoSpaceDN w:val="0"/>
              <w:adjustRightInd w:val="0"/>
              <w:spacing w:after="0"/>
              <w:jc w:val="center"/>
              <w:rPr>
                <w:rFonts w:cs="Arial"/>
                <w:color w:val="000000"/>
                <w:sz w:val="20"/>
                <w:szCs w:val="20"/>
              </w:rPr>
            </w:pPr>
            <w:r w:rsidRPr="004D1BF2">
              <w:rPr>
                <w:rFonts w:cs="Arial"/>
                <w:color w:val="000000"/>
                <w:sz w:val="20"/>
                <w:szCs w:val="20"/>
              </w:rPr>
              <w:t>Reasons for Unable To Serve</w:t>
            </w:r>
          </w:p>
        </w:tc>
        <w:tc>
          <w:tcPr>
            <w:tcW w:w="2340" w:type="dxa"/>
            <w:tcBorders>
              <w:top w:val="single" w:sz="18" w:space="0" w:color="000000"/>
              <w:left w:val="single" w:sz="6" w:space="0" w:color="000000"/>
              <w:bottom w:val="single" w:sz="6" w:space="0" w:color="000000"/>
              <w:right w:val="single" w:sz="18" w:space="0" w:color="000000"/>
            </w:tcBorders>
            <w:shd w:val="solid" w:color="C0C0C0" w:fill="000000"/>
          </w:tcPr>
          <w:p w:rsidR="0078621A" w:rsidRPr="004D1BF2" w:rsidRDefault="0078621A" w:rsidP="00EA1DAB">
            <w:pPr>
              <w:autoSpaceDE w:val="0"/>
              <w:autoSpaceDN w:val="0"/>
              <w:adjustRightInd w:val="0"/>
              <w:spacing w:after="0"/>
              <w:jc w:val="center"/>
              <w:rPr>
                <w:rFonts w:cs="Arial"/>
                <w:color w:val="000000"/>
                <w:sz w:val="20"/>
                <w:szCs w:val="20"/>
              </w:rPr>
            </w:pPr>
            <w:r w:rsidRPr="004D1BF2">
              <w:rPr>
                <w:rFonts w:cs="Arial"/>
                <w:color w:val="000000"/>
                <w:sz w:val="20"/>
                <w:szCs w:val="20"/>
              </w:rPr>
              <w:t>Count</w:t>
            </w:r>
          </w:p>
        </w:tc>
      </w:tr>
      <w:tr w:rsidR="0007183C" w:rsidRPr="0078621A" w:rsidTr="00EA629E">
        <w:trPr>
          <w:trHeight w:val="290"/>
        </w:trPr>
        <w:tc>
          <w:tcPr>
            <w:tcW w:w="3780" w:type="dxa"/>
            <w:tcBorders>
              <w:top w:val="single" w:sz="6" w:space="0" w:color="000000"/>
              <w:left w:val="single" w:sz="18" w:space="0" w:color="000000"/>
              <w:bottom w:val="single" w:sz="6" w:space="0" w:color="000000"/>
              <w:right w:val="single" w:sz="6" w:space="0" w:color="000000"/>
            </w:tcBorders>
          </w:tcPr>
          <w:p w:rsidR="0007183C" w:rsidRPr="004D1BF2" w:rsidRDefault="0007183C" w:rsidP="00EA1DAB">
            <w:pPr>
              <w:autoSpaceDE w:val="0"/>
              <w:autoSpaceDN w:val="0"/>
              <w:adjustRightInd w:val="0"/>
              <w:spacing w:after="0"/>
              <w:rPr>
                <w:rFonts w:cs="Arial"/>
                <w:color w:val="000000"/>
                <w:sz w:val="20"/>
                <w:szCs w:val="20"/>
              </w:rPr>
            </w:pPr>
            <w:r w:rsidRPr="004D1BF2">
              <w:rPr>
                <w:rFonts w:cs="Arial"/>
                <w:color w:val="000000"/>
                <w:sz w:val="20"/>
                <w:szCs w:val="20"/>
              </w:rPr>
              <w:t>Financial</w:t>
            </w:r>
          </w:p>
        </w:tc>
        <w:tc>
          <w:tcPr>
            <w:tcW w:w="2340" w:type="dxa"/>
            <w:tcBorders>
              <w:top w:val="single" w:sz="6" w:space="0" w:color="000000"/>
              <w:left w:val="single" w:sz="6" w:space="0" w:color="000000"/>
              <w:bottom w:val="single" w:sz="6" w:space="0" w:color="000000"/>
              <w:right w:val="single" w:sz="18" w:space="0" w:color="000000"/>
            </w:tcBorders>
            <w:vAlign w:val="bottom"/>
          </w:tcPr>
          <w:p w:rsidR="0007183C" w:rsidRDefault="0007183C" w:rsidP="00EA1DAB">
            <w:pPr>
              <w:spacing w:after="0"/>
              <w:jc w:val="right"/>
              <w:rPr>
                <w:rFonts w:ascii="Arial" w:hAnsi="Arial" w:cs="Arial"/>
                <w:color w:val="000000"/>
                <w:sz w:val="20"/>
                <w:szCs w:val="20"/>
              </w:rPr>
            </w:pPr>
            <w:r>
              <w:rPr>
                <w:rFonts w:ascii="Arial" w:hAnsi="Arial" w:cs="Arial"/>
                <w:color w:val="000000"/>
                <w:sz w:val="20"/>
                <w:szCs w:val="20"/>
              </w:rPr>
              <w:t>17</w:t>
            </w:r>
          </w:p>
        </w:tc>
      </w:tr>
      <w:tr w:rsidR="0007183C" w:rsidRPr="0078621A" w:rsidTr="00EA629E">
        <w:trPr>
          <w:trHeight w:val="290"/>
        </w:trPr>
        <w:tc>
          <w:tcPr>
            <w:tcW w:w="3780" w:type="dxa"/>
            <w:tcBorders>
              <w:top w:val="single" w:sz="6" w:space="0" w:color="000000"/>
              <w:left w:val="single" w:sz="18" w:space="0" w:color="000000"/>
              <w:bottom w:val="single" w:sz="6" w:space="0" w:color="000000"/>
              <w:right w:val="single" w:sz="6" w:space="0" w:color="000000"/>
            </w:tcBorders>
          </w:tcPr>
          <w:p w:rsidR="0007183C" w:rsidRPr="004D1BF2" w:rsidRDefault="0007183C" w:rsidP="00EA1DAB">
            <w:pPr>
              <w:autoSpaceDE w:val="0"/>
              <w:autoSpaceDN w:val="0"/>
              <w:adjustRightInd w:val="0"/>
              <w:spacing w:after="0"/>
              <w:rPr>
                <w:rFonts w:cs="Arial"/>
                <w:color w:val="000000"/>
                <w:sz w:val="20"/>
                <w:szCs w:val="20"/>
              </w:rPr>
            </w:pPr>
            <w:r w:rsidRPr="004D1BF2">
              <w:rPr>
                <w:rFonts w:cs="Arial"/>
                <w:color w:val="000000"/>
                <w:sz w:val="20"/>
                <w:szCs w:val="20"/>
              </w:rPr>
              <w:t>Medical</w:t>
            </w:r>
          </w:p>
        </w:tc>
        <w:tc>
          <w:tcPr>
            <w:tcW w:w="2340" w:type="dxa"/>
            <w:tcBorders>
              <w:top w:val="single" w:sz="6" w:space="0" w:color="000000"/>
              <w:left w:val="single" w:sz="6" w:space="0" w:color="000000"/>
              <w:bottom w:val="single" w:sz="6" w:space="0" w:color="000000"/>
              <w:right w:val="single" w:sz="18" w:space="0" w:color="000000"/>
            </w:tcBorders>
            <w:vAlign w:val="bottom"/>
          </w:tcPr>
          <w:p w:rsidR="0007183C" w:rsidRDefault="0007183C" w:rsidP="00EA1DAB">
            <w:pPr>
              <w:spacing w:after="0"/>
              <w:jc w:val="right"/>
              <w:rPr>
                <w:rFonts w:ascii="Arial" w:hAnsi="Arial" w:cs="Arial"/>
                <w:color w:val="000000"/>
                <w:sz w:val="20"/>
                <w:szCs w:val="20"/>
              </w:rPr>
            </w:pPr>
            <w:r>
              <w:rPr>
                <w:rFonts w:ascii="Arial" w:hAnsi="Arial" w:cs="Arial"/>
                <w:color w:val="000000"/>
                <w:sz w:val="20"/>
                <w:szCs w:val="20"/>
              </w:rPr>
              <w:t>20</w:t>
            </w:r>
          </w:p>
        </w:tc>
      </w:tr>
      <w:tr w:rsidR="0007183C" w:rsidRPr="0078621A" w:rsidTr="00EA629E">
        <w:trPr>
          <w:trHeight w:val="290"/>
        </w:trPr>
        <w:tc>
          <w:tcPr>
            <w:tcW w:w="3780" w:type="dxa"/>
            <w:tcBorders>
              <w:top w:val="single" w:sz="6" w:space="0" w:color="000000"/>
              <w:left w:val="single" w:sz="18" w:space="0" w:color="000000"/>
              <w:bottom w:val="single" w:sz="6" w:space="0" w:color="000000"/>
              <w:right w:val="single" w:sz="6" w:space="0" w:color="000000"/>
            </w:tcBorders>
          </w:tcPr>
          <w:p w:rsidR="0007183C" w:rsidRPr="004D1BF2" w:rsidRDefault="0007183C" w:rsidP="00EA1DAB">
            <w:pPr>
              <w:autoSpaceDE w:val="0"/>
              <w:autoSpaceDN w:val="0"/>
              <w:adjustRightInd w:val="0"/>
              <w:spacing w:after="0"/>
              <w:rPr>
                <w:rFonts w:cs="Arial"/>
                <w:color w:val="000000"/>
                <w:sz w:val="20"/>
                <w:szCs w:val="20"/>
              </w:rPr>
            </w:pPr>
            <w:r w:rsidRPr="004D1BF2">
              <w:rPr>
                <w:rFonts w:cs="Arial"/>
                <w:color w:val="000000"/>
                <w:sz w:val="20"/>
                <w:szCs w:val="20"/>
              </w:rPr>
              <w:t>Medical/Diabetes</w:t>
            </w:r>
          </w:p>
        </w:tc>
        <w:tc>
          <w:tcPr>
            <w:tcW w:w="2340" w:type="dxa"/>
            <w:tcBorders>
              <w:top w:val="single" w:sz="6" w:space="0" w:color="000000"/>
              <w:left w:val="single" w:sz="6" w:space="0" w:color="000000"/>
              <w:bottom w:val="single" w:sz="6" w:space="0" w:color="000000"/>
              <w:right w:val="single" w:sz="18" w:space="0" w:color="000000"/>
            </w:tcBorders>
            <w:vAlign w:val="bottom"/>
          </w:tcPr>
          <w:p w:rsidR="0007183C" w:rsidRDefault="0007183C" w:rsidP="00EA1DAB">
            <w:pPr>
              <w:spacing w:after="0"/>
              <w:jc w:val="right"/>
              <w:rPr>
                <w:rFonts w:ascii="Arial" w:hAnsi="Arial" w:cs="Arial"/>
                <w:color w:val="000000"/>
                <w:sz w:val="20"/>
                <w:szCs w:val="20"/>
              </w:rPr>
            </w:pPr>
            <w:r>
              <w:rPr>
                <w:rFonts w:ascii="Arial" w:hAnsi="Arial" w:cs="Arial"/>
                <w:color w:val="000000"/>
                <w:sz w:val="20"/>
                <w:szCs w:val="20"/>
              </w:rPr>
              <w:t>23</w:t>
            </w:r>
          </w:p>
        </w:tc>
      </w:tr>
      <w:tr w:rsidR="0007183C" w:rsidRPr="0078621A" w:rsidTr="00EA629E">
        <w:trPr>
          <w:trHeight w:val="290"/>
        </w:trPr>
        <w:tc>
          <w:tcPr>
            <w:tcW w:w="3780" w:type="dxa"/>
            <w:tcBorders>
              <w:top w:val="single" w:sz="6" w:space="0" w:color="000000"/>
              <w:left w:val="single" w:sz="18" w:space="0" w:color="000000"/>
              <w:bottom w:val="single" w:sz="6" w:space="0" w:color="000000"/>
              <w:right w:val="single" w:sz="6" w:space="0" w:color="000000"/>
            </w:tcBorders>
          </w:tcPr>
          <w:p w:rsidR="0007183C" w:rsidRPr="004D1BF2" w:rsidRDefault="0007183C" w:rsidP="00EA1DAB">
            <w:pPr>
              <w:autoSpaceDE w:val="0"/>
              <w:autoSpaceDN w:val="0"/>
              <w:adjustRightInd w:val="0"/>
              <w:spacing w:after="0"/>
              <w:rPr>
                <w:rFonts w:cs="Arial"/>
                <w:color w:val="000000"/>
                <w:sz w:val="20"/>
                <w:szCs w:val="20"/>
              </w:rPr>
            </w:pPr>
            <w:r w:rsidRPr="004D1BF2">
              <w:rPr>
                <w:rFonts w:cs="Arial"/>
                <w:color w:val="000000"/>
                <w:sz w:val="20"/>
                <w:szCs w:val="20"/>
              </w:rPr>
              <w:t>Medication Management</w:t>
            </w:r>
          </w:p>
        </w:tc>
        <w:tc>
          <w:tcPr>
            <w:tcW w:w="2340" w:type="dxa"/>
            <w:tcBorders>
              <w:top w:val="single" w:sz="6" w:space="0" w:color="000000"/>
              <w:left w:val="single" w:sz="6" w:space="0" w:color="000000"/>
              <w:bottom w:val="single" w:sz="6" w:space="0" w:color="000000"/>
              <w:right w:val="single" w:sz="18" w:space="0" w:color="000000"/>
            </w:tcBorders>
            <w:vAlign w:val="bottom"/>
          </w:tcPr>
          <w:p w:rsidR="0007183C" w:rsidRDefault="0007183C" w:rsidP="00EA1DAB">
            <w:pPr>
              <w:spacing w:after="0"/>
              <w:jc w:val="right"/>
              <w:rPr>
                <w:rFonts w:ascii="Arial" w:hAnsi="Arial" w:cs="Arial"/>
                <w:color w:val="000000"/>
                <w:sz w:val="20"/>
                <w:szCs w:val="20"/>
              </w:rPr>
            </w:pPr>
            <w:r>
              <w:rPr>
                <w:rFonts w:ascii="Arial" w:hAnsi="Arial" w:cs="Arial"/>
                <w:color w:val="000000"/>
                <w:sz w:val="20"/>
                <w:szCs w:val="20"/>
              </w:rPr>
              <w:t>30</w:t>
            </w:r>
          </w:p>
        </w:tc>
      </w:tr>
      <w:tr w:rsidR="0007183C" w:rsidRPr="0078621A" w:rsidTr="00EA629E">
        <w:trPr>
          <w:trHeight w:val="290"/>
        </w:trPr>
        <w:tc>
          <w:tcPr>
            <w:tcW w:w="3780" w:type="dxa"/>
            <w:tcBorders>
              <w:top w:val="single" w:sz="6" w:space="0" w:color="000000"/>
              <w:left w:val="single" w:sz="18" w:space="0" w:color="000000"/>
              <w:bottom w:val="single" w:sz="6" w:space="0" w:color="000000"/>
              <w:right w:val="single" w:sz="6" w:space="0" w:color="000000"/>
            </w:tcBorders>
          </w:tcPr>
          <w:p w:rsidR="0007183C" w:rsidRPr="004D1BF2" w:rsidRDefault="0007183C" w:rsidP="00EA1DAB">
            <w:pPr>
              <w:autoSpaceDE w:val="0"/>
              <w:autoSpaceDN w:val="0"/>
              <w:adjustRightInd w:val="0"/>
              <w:spacing w:after="0"/>
              <w:rPr>
                <w:rFonts w:cs="Arial"/>
                <w:color w:val="000000"/>
                <w:sz w:val="20"/>
                <w:szCs w:val="20"/>
              </w:rPr>
            </w:pPr>
            <w:r w:rsidRPr="004D1BF2">
              <w:rPr>
                <w:rFonts w:cs="Arial"/>
                <w:color w:val="000000"/>
                <w:sz w:val="20"/>
                <w:szCs w:val="20"/>
              </w:rPr>
              <w:t>Mental Health</w:t>
            </w:r>
          </w:p>
        </w:tc>
        <w:tc>
          <w:tcPr>
            <w:tcW w:w="2340" w:type="dxa"/>
            <w:tcBorders>
              <w:top w:val="single" w:sz="6" w:space="0" w:color="000000"/>
              <w:left w:val="single" w:sz="6" w:space="0" w:color="000000"/>
              <w:bottom w:val="single" w:sz="6" w:space="0" w:color="000000"/>
              <w:right w:val="single" w:sz="18" w:space="0" w:color="000000"/>
            </w:tcBorders>
            <w:vAlign w:val="bottom"/>
          </w:tcPr>
          <w:p w:rsidR="0007183C" w:rsidRDefault="0007183C" w:rsidP="00EA1DAB">
            <w:pPr>
              <w:spacing w:after="0"/>
              <w:jc w:val="right"/>
              <w:rPr>
                <w:rFonts w:ascii="Arial" w:hAnsi="Arial" w:cs="Arial"/>
                <w:color w:val="000000"/>
                <w:sz w:val="20"/>
                <w:szCs w:val="20"/>
              </w:rPr>
            </w:pPr>
            <w:r>
              <w:rPr>
                <w:rFonts w:ascii="Arial" w:hAnsi="Arial" w:cs="Arial"/>
                <w:color w:val="000000"/>
                <w:sz w:val="20"/>
                <w:szCs w:val="20"/>
              </w:rPr>
              <w:t>41</w:t>
            </w:r>
          </w:p>
        </w:tc>
      </w:tr>
      <w:tr w:rsidR="0007183C" w:rsidRPr="0078621A" w:rsidTr="00EA629E">
        <w:trPr>
          <w:trHeight w:val="305"/>
        </w:trPr>
        <w:tc>
          <w:tcPr>
            <w:tcW w:w="3780" w:type="dxa"/>
            <w:tcBorders>
              <w:top w:val="single" w:sz="6" w:space="0" w:color="000000"/>
              <w:left w:val="single" w:sz="18" w:space="0" w:color="000000"/>
              <w:bottom w:val="nil"/>
              <w:right w:val="single" w:sz="6" w:space="0" w:color="000000"/>
            </w:tcBorders>
          </w:tcPr>
          <w:p w:rsidR="0007183C" w:rsidRPr="004D1BF2" w:rsidRDefault="0007183C" w:rsidP="00EA1DAB">
            <w:pPr>
              <w:autoSpaceDE w:val="0"/>
              <w:autoSpaceDN w:val="0"/>
              <w:adjustRightInd w:val="0"/>
              <w:spacing w:after="0"/>
              <w:rPr>
                <w:rFonts w:cs="Arial"/>
                <w:color w:val="000000"/>
                <w:sz w:val="20"/>
                <w:szCs w:val="20"/>
              </w:rPr>
            </w:pPr>
            <w:r w:rsidRPr="004D1BF2">
              <w:rPr>
                <w:rFonts w:cs="Arial"/>
                <w:color w:val="000000"/>
                <w:sz w:val="20"/>
                <w:szCs w:val="20"/>
              </w:rPr>
              <w:t>Housing</w:t>
            </w:r>
          </w:p>
        </w:tc>
        <w:tc>
          <w:tcPr>
            <w:tcW w:w="2340" w:type="dxa"/>
            <w:tcBorders>
              <w:top w:val="single" w:sz="6" w:space="0" w:color="000000"/>
              <w:left w:val="single" w:sz="6" w:space="0" w:color="000000"/>
              <w:bottom w:val="nil"/>
              <w:right w:val="single" w:sz="18" w:space="0" w:color="000000"/>
            </w:tcBorders>
            <w:vAlign w:val="bottom"/>
          </w:tcPr>
          <w:p w:rsidR="0007183C" w:rsidRDefault="0007183C" w:rsidP="00EA1DAB">
            <w:pPr>
              <w:spacing w:after="0"/>
              <w:jc w:val="right"/>
              <w:rPr>
                <w:rFonts w:ascii="Arial" w:hAnsi="Arial" w:cs="Arial"/>
                <w:color w:val="000000"/>
                <w:sz w:val="20"/>
                <w:szCs w:val="20"/>
              </w:rPr>
            </w:pPr>
            <w:r>
              <w:rPr>
                <w:rFonts w:ascii="Arial" w:hAnsi="Arial" w:cs="Arial"/>
                <w:color w:val="000000"/>
                <w:sz w:val="20"/>
                <w:szCs w:val="20"/>
              </w:rPr>
              <w:t>155</w:t>
            </w:r>
          </w:p>
        </w:tc>
      </w:tr>
      <w:tr w:rsidR="0007183C" w:rsidRPr="0078621A" w:rsidTr="00EA629E">
        <w:trPr>
          <w:trHeight w:val="319"/>
        </w:trPr>
        <w:tc>
          <w:tcPr>
            <w:tcW w:w="3780" w:type="dxa"/>
            <w:tcBorders>
              <w:top w:val="single" w:sz="18" w:space="0" w:color="000000"/>
              <w:left w:val="single" w:sz="18" w:space="0" w:color="000000"/>
              <w:bottom w:val="single" w:sz="18" w:space="0" w:color="000000"/>
              <w:right w:val="single" w:sz="6" w:space="0" w:color="000000"/>
            </w:tcBorders>
          </w:tcPr>
          <w:p w:rsidR="0007183C" w:rsidRPr="004D1BF2" w:rsidRDefault="0007183C" w:rsidP="00EA1DAB">
            <w:pPr>
              <w:autoSpaceDE w:val="0"/>
              <w:autoSpaceDN w:val="0"/>
              <w:adjustRightInd w:val="0"/>
              <w:spacing w:after="0"/>
              <w:rPr>
                <w:rFonts w:cs="Calibri"/>
                <w:color w:val="000000"/>
                <w:sz w:val="20"/>
                <w:szCs w:val="20"/>
              </w:rPr>
            </w:pPr>
            <w:r w:rsidRPr="004D1BF2">
              <w:rPr>
                <w:rFonts w:cs="Calibri"/>
                <w:color w:val="000000"/>
                <w:sz w:val="20"/>
                <w:szCs w:val="20"/>
              </w:rPr>
              <w:t>Total</w:t>
            </w:r>
          </w:p>
        </w:tc>
        <w:tc>
          <w:tcPr>
            <w:tcW w:w="2340" w:type="dxa"/>
            <w:tcBorders>
              <w:top w:val="single" w:sz="18" w:space="0" w:color="000000"/>
              <w:left w:val="single" w:sz="6" w:space="0" w:color="000000"/>
              <w:bottom w:val="single" w:sz="18" w:space="0" w:color="000000"/>
              <w:right w:val="single" w:sz="18" w:space="0" w:color="000000"/>
            </w:tcBorders>
            <w:vAlign w:val="bottom"/>
          </w:tcPr>
          <w:p w:rsidR="0007183C" w:rsidRDefault="0007183C" w:rsidP="00EA1DAB">
            <w:pPr>
              <w:spacing w:after="0"/>
              <w:jc w:val="right"/>
              <w:rPr>
                <w:rFonts w:ascii="Calibri" w:hAnsi="Calibri"/>
                <w:b/>
                <w:bCs/>
                <w:color w:val="000000"/>
              </w:rPr>
            </w:pPr>
            <w:r>
              <w:rPr>
                <w:rFonts w:ascii="Calibri" w:hAnsi="Calibri"/>
                <w:b/>
                <w:bCs/>
                <w:color w:val="000000"/>
              </w:rPr>
              <w:t>286</w:t>
            </w:r>
          </w:p>
        </w:tc>
      </w:tr>
    </w:tbl>
    <w:p w:rsidR="0078621A" w:rsidRDefault="0078621A" w:rsidP="00EA1DAB">
      <w:pPr>
        <w:spacing w:after="0"/>
      </w:pPr>
    </w:p>
    <w:p w:rsidR="00EA1DAB" w:rsidRDefault="00EA1DAB" w:rsidP="00EA1DAB">
      <w:pPr>
        <w:spacing w:after="0"/>
        <w:rPr>
          <w:rFonts w:cs="Times New Roman"/>
          <w:b/>
        </w:rPr>
      </w:pPr>
    </w:p>
    <w:p w:rsidR="00846A6F" w:rsidRPr="001E55F2" w:rsidRDefault="00846A6F" w:rsidP="00EA1DAB">
      <w:pPr>
        <w:spacing w:after="0"/>
        <w:rPr>
          <w:rFonts w:cs="Times New Roman"/>
          <w:b/>
        </w:rPr>
      </w:pPr>
      <w:r w:rsidRPr="001E55F2">
        <w:rPr>
          <w:rFonts w:cs="Times New Roman"/>
          <w:b/>
        </w:rPr>
        <w:t>Community Tenure</w:t>
      </w:r>
    </w:p>
    <w:p w:rsidR="00846A6F" w:rsidRPr="00D8171E" w:rsidRDefault="00846A6F" w:rsidP="00EA1DAB">
      <w:pPr>
        <w:spacing w:after="0"/>
        <w:rPr>
          <w:rFonts w:cs="Times New Roman"/>
        </w:rPr>
      </w:pPr>
      <w:r w:rsidRPr="00D8171E">
        <w:rPr>
          <w:rFonts w:cs="Times New Roman"/>
        </w:rPr>
        <w:t xml:space="preserve">An important indicator of the success in Class Members transition from the institutional setting of an IMD to the community setting of their own home continues to be the extent to which Class Members continue to reside in these homes post IMD discharge.  The table below displays a frequency distribution showing the length of time or community tenure of Class Members still residing in permanent supported housing post IMD discharge.  (Note that the data excludes individuals returning to IMDs who did not return to the community, and those Class Members who are deceased.)  </w:t>
      </w:r>
      <w:r w:rsidRPr="00D8171E">
        <w:t xml:space="preserve"> </w:t>
      </w:r>
      <w:r w:rsidRPr="00D8171E">
        <w:rPr>
          <w:rFonts w:cs="Times New Roman"/>
        </w:rPr>
        <w:t xml:space="preserve">While this table does not provide a conclusive picture of the extent to which Class Members will remain in the community </w:t>
      </w:r>
      <w:r w:rsidRPr="00D8171E">
        <w:rPr>
          <w:rFonts w:cs="Times New Roman"/>
        </w:rPr>
        <w:lastRenderedPageBreak/>
        <w:t>following community transition because new Class Members are continually transitioning from IMDs, it does provide descriptive point in time information regarding the number of days that Class Members are living in community residential settings post IMD discharge.  The data displayed in the following table shows that approximately 42% of Class Members have lived in their own homes, after transitioning from IMDS, for 691 days.  Another 30% have resided in the community between 361 and 690 days.</w:t>
      </w:r>
    </w:p>
    <w:p w:rsidR="00F477D6" w:rsidRPr="00D8171E" w:rsidRDefault="00F477D6" w:rsidP="00EA1DAB">
      <w:pPr>
        <w:spacing w:after="0"/>
        <w:rPr>
          <w:rFonts w:ascii="Times New Roman" w:hAnsi="Times New Roman" w:cs="Times New Roman"/>
          <w:sz w:val="24"/>
          <w:szCs w:val="24"/>
        </w:rPr>
      </w:pPr>
    </w:p>
    <w:p w:rsidR="00846A6F" w:rsidRPr="00D8171E" w:rsidRDefault="00846A6F" w:rsidP="00EA1DAB">
      <w:pPr>
        <w:spacing w:after="0"/>
        <w:jc w:val="center"/>
        <w:rPr>
          <w:rFonts w:cs="Times New Roman"/>
          <w:b/>
        </w:rPr>
      </w:pPr>
      <w:r w:rsidRPr="00D8171E">
        <w:rPr>
          <w:rFonts w:cs="Times New Roman"/>
          <w:b/>
        </w:rPr>
        <w:t>Williams Class Members</w:t>
      </w:r>
      <w:r w:rsidRPr="00D8171E">
        <w:rPr>
          <w:rFonts w:cs="Times New Roman"/>
          <w:b/>
          <w:vertAlign w:val="superscript"/>
        </w:rPr>
        <w:t>1</w:t>
      </w:r>
    </w:p>
    <w:p w:rsidR="00F477D6" w:rsidRPr="00D8171E" w:rsidRDefault="00846A6F" w:rsidP="00EA1DAB">
      <w:pPr>
        <w:spacing w:after="0"/>
        <w:jc w:val="center"/>
        <w:rPr>
          <w:rFonts w:ascii="Times New Roman" w:hAnsi="Times New Roman" w:cs="Times New Roman"/>
          <w:sz w:val="24"/>
          <w:szCs w:val="24"/>
        </w:rPr>
      </w:pPr>
      <w:r w:rsidRPr="00D8171E">
        <w:rPr>
          <w:rFonts w:cs="Times New Roman"/>
          <w:b/>
        </w:rPr>
        <w:t>Number of Days Residing in the Community as of April 30, 2015</w:t>
      </w:r>
    </w:p>
    <w:p w:rsidR="00F477D6" w:rsidRPr="00D8171E" w:rsidRDefault="00F477D6" w:rsidP="00EA1DAB">
      <w:pPr>
        <w:spacing w:after="0"/>
        <w:rPr>
          <w:rFonts w:ascii="Times New Roman" w:hAnsi="Times New Roman" w:cs="Times New Roman"/>
          <w:sz w:val="24"/>
          <w:szCs w:val="24"/>
        </w:rPr>
      </w:pPr>
    </w:p>
    <w:p w:rsidR="00F477D6" w:rsidRDefault="00F477D6" w:rsidP="00EA1DAB">
      <w:pPr>
        <w:spacing w:after="0"/>
        <w:rPr>
          <w:rFonts w:ascii="Times New Roman" w:hAnsi="Times New Roman" w:cs="Times New Roman"/>
          <w:sz w:val="24"/>
          <w:szCs w:val="24"/>
        </w:rPr>
      </w:pPr>
    </w:p>
    <w:tbl>
      <w:tblPr>
        <w:tblpPr w:leftFromText="180" w:rightFromText="180" w:vertAnchor="page" w:horzAnchor="margin" w:tblpXSpec="center" w:tblpY="4213"/>
        <w:tblW w:w="6048" w:type="dxa"/>
        <w:tblLook w:val="04A0" w:firstRow="1" w:lastRow="0" w:firstColumn="1" w:lastColumn="0" w:noHBand="0" w:noVBand="1"/>
      </w:tblPr>
      <w:tblGrid>
        <w:gridCol w:w="4302"/>
        <w:gridCol w:w="576"/>
        <w:gridCol w:w="1170"/>
      </w:tblGrid>
      <w:tr w:rsidR="00EA1DAB" w:rsidRPr="009F2963" w:rsidTr="00EA1DAB">
        <w:trPr>
          <w:trHeight w:val="350"/>
        </w:trPr>
        <w:tc>
          <w:tcPr>
            <w:tcW w:w="43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1DAB" w:rsidRPr="009F2963" w:rsidRDefault="00EA1DAB" w:rsidP="00EA1DAB">
            <w:pPr>
              <w:spacing w:after="0"/>
              <w:rPr>
                <w:rFonts w:eastAsia="Times New Roman" w:cs="Times New Roman"/>
                <w:b/>
                <w:bCs/>
                <w:color w:val="000000"/>
              </w:rPr>
            </w:pPr>
            <w:r w:rsidRPr="009F2963">
              <w:rPr>
                <w:rFonts w:eastAsia="Times New Roman" w:cs="Times New Roman"/>
                <w:b/>
                <w:bCs/>
                <w:color w:val="000000"/>
              </w:rPr>
              <w:t>Number of Days of Community Tenure</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EA1DAB" w:rsidRPr="009F2963" w:rsidRDefault="00EA1DAB" w:rsidP="00EA1DAB">
            <w:pPr>
              <w:spacing w:after="0"/>
              <w:jc w:val="right"/>
              <w:rPr>
                <w:rFonts w:eastAsia="Times New Roman" w:cs="Times New Roman"/>
                <w:b/>
                <w:bCs/>
                <w:color w:val="000000"/>
              </w:rPr>
            </w:pPr>
            <w:r w:rsidRPr="009F2963">
              <w:rPr>
                <w:rFonts w:eastAsia="Times New Roman" w:cs="Times New Roman"/>
                <w:b/>
                <w:bCs/>
                <w:color w:val="000000"/>
              </w:rPr>
              <w:t>N</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A1DAB" w:rsidRPr="009F2963" w:rsidRDefault="00EA1DAB" w:rsidP="00EA1DAB">
            <w:pPr>
              <w:spacing w:after="0"/>
              <w:jc w:val="center"/>
              <w:rPr>
                <w:rFonts w:eastAsia="Times New Roman" w:cs="Times New Roman"/>
                <w:b/>
                <w:bCs/>
                <w:color w:val="000000"/>
              </w:rPr>
            </w:pPr>
            <w:r w:rsidRPr="009F2963">
              <w:rPr>
                <w:rFonts w:eastAsia="Times New Roman" w:cs="Times New Roman"/>
                <w:b/>
                <w:bCs/>
                <w:color w:val="000000"/>
              </w:rPr>
              <w:t>%</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0 - 30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22</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2.33%</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31-60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36</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3.82%</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61-90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16</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1.70%</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91-120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21</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2.23%</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121-150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21</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2.23%</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151-180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28</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2.97%</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181-210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22</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2.33%</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211-240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27</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2.86%</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241-270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19</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2.01%</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271-300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20</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2.12%</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301-330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26</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2.76%</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331-360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18</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1.91%</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361-390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25</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2.65%</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391-420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21</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2.23%</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421-450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25</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2.65%</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451-480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17</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1.80%</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481-510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23</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2.44%</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511-540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28</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2.97%</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541-570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9</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0.95%</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571-600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28</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2.97%</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601-630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27</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2.86%</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631-660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36</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3.82%</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661-690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35</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3.71%</w:t>
            </w:r>
          </w:p>
        </w:tc>
      </w:tr>
      <w:tr w:rsidR="00EA1DAB" w:rsidRPr="009F2963" w:rsidTr="00EA1DAB">
        <w:trPr>
          <w:trHeight w:val="310"/>
        </w:trPr>
        <w:tc>
          <w:tcPr>
            <w:tcW w:w="4302" w:type="dxa"/>
            <w:tcBorders>
              <w:top w:val="nil"/>
              <w:left w:val="single" w:sz="4" w:space="0" w:color="auto"/>
              <w:bottom w:val="single" w:sz="4" w:space="0" w:color="auto"/>
              <w:right w:val="single" w:sz="4" w:space="0" w:color="auto"/>
            </w:tcBorders>
            <w:shd w:val="clear" w:color="000000" w:fill="FFFFFF"/>
            <w:hideMark/>
          </w:tcPr>
          <w:p w:rsidR="00EA1DAB" w:rsidRPr="009F2963" w:rsidRDefault="00EA1DAB" w:rsidP="00EA1DAB">
            <w:pPr>
              <w:spacing w:after="0"/>
              <w:rPr>
                <w:rFonts w:eastAsia="Times New Roman" w:cs="Times New Roman"/>
                <w:color w:val="000000"/>
              </w:rPr>
            </w:pPr>
            <w:r w:rsidRPr="009F2963">
              <w:rPr>
                <w:rFonts w:eastAsia="Times New Roman" w:cs="Times New Roman"/>
              </w:rPr>
              <w:t>&gt;690</w:t>
            </w:r>
          </w:p>
        </w:tc>
        <w:tc>
          <w:tcPr>
            <w:tcW w:w="576" w:type="dxa"/>
            <w:tcBorders>
              <w:top w:val="nil"/>
              <w:left w:val="nil"/>
              <w:bottom w:val="single" w:sz="4" w:space="0" w:color="auto"/>
              <w:right w:val="single" w:sz="4" w:space="0" w:color="auto"/>
            </w:tcBorders>
            <w:shd w:val="clear" w:color="000000" w:fill="FFFFFF"/>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393</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color w:val="000000"/>
              </w:rPr>
            </w:pPr>
            <w:r w:rsidRPr="009F2963">
              <w:rPr>
                <w:rFonts w:eastAsia="Times New Roman" w:cs="Times New Roman"/>
                <w:color w:val="000000"/>
              </w:rPr>
              <w:t>41.68%</w:t>
            </w:r>
          </w:p>
        </w:tc>
      </w:tr>
      <w:tr w:rsidR="00EA1DAB" w:rsidRPr="009F2963" w:rsidTr="00EA1DAB">
        <w:trPr>
          <w:trHeight w:val="300"/>
        </w:trPr>
        <w:tc>
          <w:tcPr>
            <w:tcW w:w="4302" w:type="dxa"/>
            <w:tcBorders>
              <w:top w:val="nil"/>
              <w:left w:val="single" w:sz="4" w:space="0" w:color="auto"/>
              <w:bottom w:val="single" w:sz="4" w:space="0" w:color="auto"/>
              <w:right w:val="single" w:sz="4" w:space="0" w:color="auto"/>
            </w:tcBorders>
            <w:shd w:val="clear" w:color="000000" w:fill="FFFFFF"/>
            <w:noWrap/>
            <w:hideMark/>
          </w:tcPr>
          <w:p w:rsidR="00EA1DAB" w:rsidRPr="009F2963" w:rsidRDefault="00EA1DAB" w:rsidP="00EA1DAB">
            <w:pPr>
              <w:spacing w:after="0"/>
              <w:rPr>
                <w:rFonts w:eastAsia="Times New Roman" w:cs="Times New Roman"/>
                <w:b/>
                <w:bCs/>
                <w:color w:val="000000"/>
              </w:rPr>
            </w:pPr>
            <w:r w:rsidRPr="009F2963">
              <w:rPr>
                <w:rFonts w:eastAsia="Times New Roman" w:cs="Times New Roman"/>
                <w:b/>
                <w:bCs/>
                <w:color w:val="000000"/>
              </w:rPr>
              <w:t>Total</w:t>
            </w:r>
          </w:p>
        </w:tc>
        <w:tc>
          <w:tcPr>
            <w:tcW w:w="576"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b/>
                <w:bCs/>
                <w:color w:val="000000"/>
              </w:rPr>
            </w:pPr>
            <w:r w:rsidRPr="009F2963">
              <w:rPr>
                <w:rFonts w:eastAsia="Times New Roman" w:cs="Times New Roman"/>
                <w:b/>
                <w:bCs/>
                <w:color w:val="000000"/>
              </w:rPr>
              <w:t>943</w:t>
            </w:r>
          </w:p>
        </w:tc>
        <w:tc>
          <w:tcPr>
            <w:tcW w:w="1170" w:type="dxa"/>
            <w:tcBorders>
              <w:top w:val="nil"/>
              <w:left w:val="nil"/>
              <w:bottom w:val="single" w:sz="4" w:space="0" w:color="auto"/>
              <w:right w:val="single" w:sz="4" w:space="0" w:color="auto"/>
            </w:tcBorders>
            <w:shd w:val="clear" w:color="000000" w:fill="FFFFFF"/>
            <w:noWrap/>
            <w:hideMark/>
          </w:tcPr>
          <w:p w:rsidR="00EA1DAB" w:rsidRPr="009F2963" w:rsidRDefault="00EA1DAB" w:rsidP="00EA1DAB">
            <w:pPr>
              <w:spacing w:after="0"/>
              <w:jc w:val="right"/>
              <w:rPr>
                <w:rFonts w:eastAsia="Times New Roman" w:cs="Times New Roman"/>
                <w:b/>
                <w:bCs/>
                <w:color w:val="000000"/>
              </w:rPr>
            </w:pPr>
            <w:r w:rsidRPr="009F2963">
              <w:rPr>
                <w:rFonts w:eastAsia="Times New Roman" w:cs="Times New Roman"/>
                <w:b/>
                <w:bCs/>
                <w:color w:val="000000"/>
              </w:rPr>
              <w:t>100.00%</w:t>
            </w:r>
          </w:p>
        </w:tc>
      </w:tr>
    </w:tbl>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Default="00F477D6" w:rsidP="00F477D6">
      <w:pPr>
        <w:spacing w:after="0"/>
        <w:rPr>
          <w:rFonts w:ascii="Times New Roman" w:hAnsi="Times New Roman" w:cs="Times New Roman"/>
          <w:sz w:val="24"/>
          <w:szCs w:val="24"/>
        </w:rPr>
      </w:pPr>
    </w:p>
    <w:p w:rsidR="00F477D6" w:rsidRPr="00DE7678" w:rsidRDefault="00F477D6" w:rsidP="00F477D6">
      <w:pPr>
        <w:spacing w:after="0"/>
        <w:rPr>
          <w:rFonts w:ascii="Times New Roman" w:hAnsi="Times New Roman" w:cs="Times New Roman"/>
          <w:sz w:val="24"/>
          <w:szCs w:val="24"/>
        </w:rPr>
      </w:pPr>
    </w:p>
    <w:p w:rsidR="00B02988" w:rsidRDefault="00B02988" w:rsidP="007D2B46">
      <w:pPr>
        <w:rPr>
          <w:highlight w:val="yellow"/>
        </w:rPr>
      </w:pPr>
    </w:p>
    <w:p w:rsidR="00B02988" w:rsidRDefault="00B02988" w:rsidP="007D2B46">
      <w:pPr>
        <w:rPr>
          <w:highlight w:val="yellow"/>
        </w:rPr>
      </w:pPr>
    </w:p>
    <w:p w:rsidR="00F477D6" w:rsidRDefault="00F477D6" w:rsidP="00B02988">
      <w:pPr>
        <w:spacing w:after="0"/>
        <w:jc w:val="center"/>
        <w:rPr>
          <w:rFonts w:eastAsia="Times New Roman" w:cs="Times New Roman"/>
          <w:b/>
          <w:sz w:val="24"/>
          <w:szCs w:val="24"/>
        </w:rPr>
      </w:pPr>
    </w:p>
    <w:p w:rsidR="00F477D6" w:rsidRDefault="00F477D6" w:rsidP="00B02988">
      <w:pPr>
        <w:spacing w:after="0"/>
        <w:jc w:val="center"/>
        <w:rPr>
          <w:rFonts w:eastAsia="Times New Roman" w:cs="Times New Roman"/>
          <w:b/>
          <w:sz w:val="24"/>
          <w:szCs w:val="24"/>
        </w:rPr>
      </w:pPr>
    </w:p>
    <w:p w:rsidR="00F477D6" w:rsidRDefault="00F477D6" w:rsidP="00B02988">
      <w:pPr>
        <w:spacing w:after="0"/>
        <w:jc w:val="center"/>
        <w:rPr>
          <w:rFonts w:eastAsia="Times New Roman" w:cs="Times New Roman"/>
          <w:b/>
          <w:sz w:val="24"/>
          <w:szCs w:val="24"/>
        </w:rPr>
      </w:pPr>
    </w:p>
    <w:p w:rsidR="00F477D6" w:rsidRDefault="00F477D6" w:rsidP="00B02988">
      <w:pPr>
        <w:spacing w:after="0"/>
        <w:jc w:val="center"/>
        <w:rPr>
          <w:rFonts w:eastAsia="Times New Roman" w:cs="Times New Roman"/>
          <w:b/>
          <w:sz w:val="24"/>
          <w:szCs w:val="24"/>
        </w:rPr>
      </w:pPr>
    </w:p>
    <w:p w:rsidR="00F477D6" w:rsidRDefault="00F477D6" w:rsidP="00B02988">
      <w:pPr>
        <w:spacing w:after="0"/>
        <w:jc w:val="center"/>
        <w:rPr>
          <w:rFonts w:eastAsia="Times New Roman" w:cs="Times New Roman"/>
          <w:b/>
          <w:sz w:val="24"/>
          <w:szCs w:val="24"/>
        </w:rPr>
      </w:pPr>
    </w:p>
    <w:p w:rsidR="00F477D6" w:rsidRDefault="00F477D6" w:rsidP="00B02988">
      <w:pPr>
        <w:spacing w:after="0"/>
        <w:jc w:val="center"/>
        <w:rPr>
          <w:rFonts w:eastAsia="Times New Roman" w:cs="Times New Roman"/>
          <w:b/>
          <w:sz w:val="24"/>
          <w:szCs w:val="24"/>
        </w:rPr>
      </w:pPr>
    </w:p>
    <w:p w:rsidR="00F477D6" w:rsidRDefault="00F477D6" w:rsidP="00B02988">
      <w:pPr>
        <w:spacing w:after="0"/>
        <w:jc w:val="center"/>
        <w:rPr>
          <w:rFonts w:eastAsia="Times New Roman" w:cs="Times New Roman"/>
          <w:b/>
          <w:sz w:val="24"/>
          <w:szCs w:val="24"/>
        </w:rPr>
      </w:pPr>
    </w:p>
    <w:p w:rsidR="00EA1DAB" w:rsidRDefault="00EA1DAB" w:rsidP="00846A6F">
      <w:pPr>
        <w:rPr>
          <w:rFonts w:ascii="Times New Roman" w:hAnsi="Times New Roman" w:cs="Times New Roman"/>
          <w:b/>
          <w:noProof/>
          <w:color w:val="FF0000"/>
          <w:vertAlign w:val="superscript"/>
        </w:rPr>
      </w:pPr>
    </w:p>
    <w:p w:rsidR="00EA1DAB" w:rsidRDefault="00EA1DAB" w:rsidP="00846A6F">
      <w:pPr>
        <w:rPr>
          <w:rFonts w:ascii="Times New Roman" w:hAnsi="Times New Roman" w:cs="Times New Roman"/>
          <w:b/>
          <w:noProof/>
          <w:color w:val="FF0000"/>
          <w:vertAlign w:val="superscript"/>
        </w:rPr>
      </w:pPr>
    </w:p>
    <w:p w:rsidR="00EA1DAB" w:rsidRDefault="00EA1DAB" w:rsidP="00846A6F">
      <w:pPr>
        <w:rPr>
          <w:rFonts w:ascii="Times New Roman" w:hAnsi="Times New Roman" w:cs="Times New Roman"/>
          <w:b/>
          <w:noProof/>
          <w:color w:val="FF0000"/>
          <w:vertAlign w:val="superscript"/>
        </w:rPr>
      </w:pPr>
    </w:p>
    <w:p w:rsidR="00EA1DAB" w:rsidRDefault="00EA1DAB" w:rsidP="00846A6F">
      <w:pPr>
        <w:rPr>
          <w:rFonts w:ascii="Times New Roman" w:hAnsi="Times New Roman" w:cs="Times New Roman"/>
          <w:b/>
          <w:noProof/>
          <w:color w:val="FF0000"/>
          <w:vertAlign w:val="superscript"/>
        </w:rPr>
      </w:pPr>
    </w:p>
    <w:p w:rsidR="00096EF0" w:rsidRDefault="00247755" w:rsidP="00247755">
      <w:pPr>
        <w:spacing w:after="0"/>
        <w:rPr>
          <w:rFonts w:ascii="Times New Roman" w:hAnsi="Times New Roman" w:cs="Times New Roman"/>
          <w:b/>
          <w:noProof/>
          <w:vertAlign w:val="superscript"/>
        </w:rPr>
      </w:pPr>
      <w:r>
        <w:rPr>
          <w:rFonts w:ascii="Times New Roman" w:hAnsi="Times New Roman" w:cs="Times New Roman"/>
          <w:b/>
          <w:noProof/>
          <w:vertAlign w:val="superscript"/>
        </w:rPr>
        <w:softHyphen/>
      </w:r>
    </w:p>
    <w:p w:rsidR="00096EF0" w:rsidRDefault="00096EF0" w:rsidP="00247755">
      <w:pPr>
        <w:spacing w:after="0"/>
        <w:rPr>
          <w:rFonts w:ascii="Times New Roman" w:hAnsi="Times New Roman" w:cs="Times New Roman"/>
          <w:b/>
          <w:noProof/>
          <w:vertAlign w:val="superscript"/>
        </w:rPr>
      </w:pPr>
    </w:p>
    <w:p w:rsidR="00247755" w:rsidRDefault="00247755" w:rsidP="00247755">
      <w:pPr>
        <w:spacing w:after="0"/>
        <w:rPr>
          <w:rFonts w:ascii="Times New Roman" w:hAnsi="Times New Roman" w:cs="Times New Roman"/>
          <w:b/>
          <w:noProof/>
          <w:vertAlign w:val="superscript"/>
        </w:rPr>
      </w:pPr>
      <w:r w:rsidRPr="00247755">
        <w:rPr>
          <w:rFonts w:ascii="Times New Roman" w:hAnsi="Times New Roman" w:cs="Times New Roman"/>
          <w:b/>
          <w:noProof/>
          <w:u w:val="single"/>
          <w:vertAlign w:val="superscript"/>
        </w:rPr>
        <w:t>________________________________________</w:t>
      </w:r>
    </w:p>
    <w:p w:rsidR="00846A6F" w:rsidRPr="00096EF0" w:rsidRDefault="00846A6F" w:rsidP="00247755">
      <w:pPr>
        <w:spacing w:after="0"/>
        <w:rPr>
          <w:rFonts w:cs="Times New Roman"/>
          <w:noProof/>
          <w:sz w:val="16"/>
          <w:szCs w:val="16"/>
        </w:rPr>
      </w:pPr>
      <w:r w:rsidRPr="00096EF0">
        <w:rPr>
          <w:rFonts w:cs="Times New Roman"/>
          <w:b/>
          <w:noProof/>
          <w:sz w:val="16"/>
          <w:szCs w:val="16"/>
          <w:vertAlign w:val="superscript"/>
        </w:rPr>
        <w:t>1</w:t>
      </w:r>
      <w:r w:rsidRPr="00096EF0">
        <w:rPr>
          <w:b/>
          <w:noProof/>
          <w:sz w:val="16"/>
          <w:szCs w:val="16"/>
          <w:vertAlign w:val="superscript"/>
        </w:rPr>
        <w:t xml:space="preserve">  </w:t>
      </w:r>
      <w:r w:rsidRPr="00096EF0">
        <w:rPr>
          <w:rFonts w:cs="Times New Roman"/>
          <w:noProof/>
          <w:sz w:val="16"/>
          <w:szCs w:val="16"/>
        </w:rPr>
        <w:t xml:space="preserve">Excludes Class Members returning to IMDS who did not return to community based housing and Class Members </w:t>
      </w:r>
      <w:r w:rsidR="00D8171E" w:rsidRPr="00096EF0">
        <w:rPr>
          <w:rFonts w:cs="Times New Roman"/>
          <w:noProof/>
          <w:sz w:val="16"/>
          <w:szCs w:val="16"/>
        </w:rPr>
        <w:t xml:space="preserve">  </w:t>
      </w:r>
      <w:r w:rsidRPr="00096EF0">
        <w:rPr>
          <w:rFonts w:cs="Times New Roman"/>
          <w:noProof/>
          <w:sz w:val="16"/>
          <w:szCs w:val="16"/>
        </w:rPr>
        <w:t>who are deceased.</w:t>
      </w:r>
    </w:p>
    <w:p w:rsidR="00B02988" w:rsidRPr="00833FB8" w:rsidRDefault="00B02988" w:rsidP="00B02988">
      <w:pPr>
        <w:spacing w:after="0"/>
        <w:jc w:val="center"/>
        <w:rPr>
          <w:rFonts w:eastAsia="Times New Roman" w:cs="Times New Roman"/>
          <w:b/>
          <w:sz w:val="24"/>
          <w:szCs w:val="24"/>
        </w:rPr>
      </w:pPr>
      <w:r w:rsidRPr="00833FB8">
        <w:rPr>
          <w:rFonts w:eastAsia="Times New Roman" w:cs="Times New Roman"/>
          <w:b/>
          <w:sz w:val="24"/>
          <w:szCs w:val="24"/>
        </w:rPr>
        <w:lastRenderedPageBreak/>
        <w:t xml:space="preserve">Characteristics of Williams Class Members </w:t>
      </w:r>
    </w:p>
    <w:p w:rsidR="00B02988" w:rsidRPr="00833FB8" w:rsidRDefault="00B02988" w:rsidP="00B02988">
      <w:pPr>
        <w:spacing w:after="0"/>
        <w:jc w:val="center"/>
        <w:rPr>
          <w:rFonts w:eastAsia="Times New Roman" w:cs="Times New Roman"/>
          <w:b/>
        </w:rPr>
      </w:pPr>
      <w:r w:rsidRPr="00833FB8">
        <w:rPr>
          <w:rFonts w:eastAsia="Times New Roman" w:cs="Times New Roman"/>
          <w:b/>
        </w:rPr>
        <w:t>Registered as of April 30, 2015</w:t>
      </w:r>
    </w:p>
    <w:p w:rsidR="00B02988" w:rsidRPr="00833FB8" w:rsidRDefault="00B02988" w:rsidP="00B02988">
      <w:pPr>
        <w:spacing w:after="0"/>
        <w:jc w:val="center"/>
        <w:rPr>
          <w:rFonts w:eastAsia="Times New Roman" w:cs="Times New Roman"/>
          <w:b/>
        </w:rPr>
      </w:pPr>
      <w:r w:rsidRPr="00833FB8">
        <w:rPr>
          <w:rFonts w:eastAsia="Times New Roman" w:cs="Times New Roman"/>
          <w:b/>
        </w:rPr>
        <w:t xml:space="preserve"> </w:t>
      </w:r>
    </w:p>
    <w:p w:rsidR="00B02988" w:rsidRPr="00833FB8" w:rsidRDefault="00B02988" w:rsidP="00B02988">
      <w:pPr>
        <w:spacing w:after="0"/>
        <w:rPr>
          <w:rFonts w:eastAsia="Times New Roman" w:cs="Times New Roman"/>
        </w:rPr>
      </w:pPr>
      <w:r w:rsidRPr="00833FB8">
        <w:rPr>
          <w:rFonts w:eastAsia="Times New Roman" w:cs="Times New Roman"/>
        </w:rPr>
        <w:t xml:space="preserve">This analysis provides an update to previous analyses performed </w:t>
      </w:r>
      <w:r w:rsidR="00DA1DEE">
        <w:rPr>
          <w:rFonts w:eastAsia="Times New Roman" w:cs="Times New Roman"/>
        </w:rPr>
        <w:t>examining</w:t>
      </w:r>
      <w:r w:rsidRPr="00833FB8">
        <w:rPr>
          <w:rFonts w:eastAsia="Times New Roman" w:cs="Times New Roman"/>
        </w:rPr>
        <w:t xml:space="preserve"> the characteristics of Williams Class Members receiving community-based treatment.  As stated in previous reports, Division of Mental Health (DMH) contracted providers serving in the role of transition coordinators are contractually required to register/enroll Williams Class Members (WCMs) in the DMH Community Information System within 7 days of their initial contact with Class Members within the IMD in which the individual resides.  They are also required to re-register these individuals to update key fields at six month intervals.  As of April 30, 2015 one thousand two hundred thirty-nine (1239) Williams Class Members were enrolled in the DMH Community Information System as a result of being assigned to an agency for transition coordination.  The results of the analyses summarized below are indicative that there were very few changes in the profile of enrolled Class Members as of April 2015 in comparison to November 2014.  The clinical and descriptive characteristics appear to be fairly stable for this population.   </w:t>
      </w:r>
    </w:p>
    <w:p w:rsidR="00B02988" w:rsidRPr="00833FB8" w:rsidRDefault="00B02988" w:rsidP="00B02988">
      <w:pPr>
        <w:spacing w:after="0"/>
        <w:rPr>
          <w:rFonts w:eastAsia="Times New Roman" w:cs="Times New Roman"/>
        </w:rPr>
      </w:pPr>
    </w:p>
    <w:p w:rsidR="00B02988" w:rsidRPr="00833FB8" w:rsidRDefault="00B02988" w:rsidP="00B02988">
      <w:pPr>
        <w:spacing w:after="0"/>
        <w:rPr>
          <w:rFonts w:eastAsia="Times New Roman" w:cs="Times New Roman"/>
        </w:rPr>
      </w:pPr>
      <w:r w:rsidRPr="00833FB8">
        <w:rPr>
          <w:rFonts w:eastAsia="Times New Roman" w:cs="Times New Roman"/>
          <w:b/>
          <w:i/>
        </w:rPr>
        <w:t>Age, Gender, Ethnicity and Hispanic Origin.</w:t>
      </w:r>
      <w:r w:rsidRPr="00833FB8">
        <w:rPr>
          <w:rFonts w:eastAsia="Times New Roman" w:cs="Times New Roman"/>
        </w:rPr>
        <w:t xml:space="preserve">  Those Class Members who are registered range in age from 20 to 82 years old, with an average age of 47</w:t>
      </w:r>
      <w:r w:rsidRPr="00833FB8">
        <w:rPr>
          <w:rFonts w:eastAsia="Times New Roman" w:cs="Times New Roman"/>
          <w:shd w:val="clear" w:color="auto" w:fill="FFFFFF" w:themeFill="background1"/>
        </w:rPr>
        <w:t>.  Of the 1239 class members included in the analysis, 810 (65%) are male and 429 (35%) are female.</w:t>
      </w:r>
      <w:r w:rsidRPr="00833FB8">
        <w:rPr>
          <w:rFonts w:eastAsia="Times New Roman" w:cs="Times New Roman"/>
        </w:rPr>
        <w:t xml:space="preserve">  Overall, 5.8% of class members were reported as being of Hispanic Origin.  With regard to primary ethnicity, 53.3% of Class members are Black/African-American and 42.3% are Caucasian.  A small percentage are Asian (1.5%), and a very small percentage are American Indian/Native Alaskan and Hawaiian/Pacific Islander (.5%); ethnicity was reported as unknown for 31 (2.5%) Class Members.  </w:t>
      </w:r>
    </w:p>
    <w:p w:rsidR="00B02988" w:rsidRPr="00833FB8" w:rsidRDefault="00B02988" w:rsidP="00B02988">
      <w:pPr>
        <w:spacing w:after="0"/>
        <w:rPr>
          <w:rFonts w:eastAsia="Times New Roman" w:cs="Times New Roman"/>
        </w:rPr>
      </w:pPr>
    </w:p>
    <w:p w:rsidR="00B02988" w:rsidRPr="00833FB8" w:rsidRDefault="00B02988" w:rsidP="00B02988">
      <w:pPr>
        <w:spacing w:after="0"/>
        <w:rPr>
          <w:rFonts w:eastAsia="Times New Roman" w:cs="Times New Roman"/>
        </w:rPr>
      </w:pPr>
      <w:r w:rsidRPr="00833FB8">
        <w:rPr>
          <w:rFonts w:eastAsia="Times New Roman" w:cs="Times New Roman"/>
          <w:b/>
          <w:i/>
        </w:rPr>
        <w:t>Marital Status.</w:t>
      </w:r>
      <w:r w:rsidRPr="00833FB8">
        <w:rPr>
          <w:rFonts w:eastAsia="Times New Roman" w:cs="Times New Roman"/>
        </w:rPr>
        <w:t xml:space="preserve">  The majority (76%) of class members have never been married; eleven percent are divorced and another 3.5% are separated. Only 2.2% are married and 2 percent are widowed.   Data was not report</w:t>
      </w:r>
      <w:r w:rsidR="00DA1DEE">
        <w:rPr>
          <w:rFonts w:eastAsia="Times New Roman" w:cs="Times New Roman"/>
        </w:rPr>
        <w:t>ed</w:t>
      </w:r>
      <w:r w:rsidRPr="00833FB8">
        <w:rPr>
          <w:rFonts w:eastAsia="Times New Roman" w:cs="Times New Roman"/>
        </w:rPr>
        <w:t xml:space="preserve"> for 63 (5.1%) of Class members.</w:t>
      </w:r>
    </w:p>
    <w:p w:rsidR="00B02988" w:rsidRPr="00833FB8" w:rsidRDefault="00B02988" w:rsidP="00B02988">
      <w:pPr>
        <w:spacing w:after="0"/>
        <w:rPr>
          <w:rFonts w:eastAsia="Times New Roman" w:cs="Times New Roman"/>
        </w:rPr>
      </w:pPr>
    </w:p>
    <w:p w:rsidR="00B02988" w:rsidRPr="00833FB8" w:rsidRDefault="00B02988" w:rsidP="00B02988">
      <w:pPr>
        <w:spacing w:after="0"/>
        <w:rPr>
          <w:rFonts w:eastAsia="Times New Roman" w:cs="Times New Roman"/>
        </w:rPr>
      </w:pPr>
      <w:r w:rsidRPr="00833FB8">
        <w:rPr>
          <w:rFonts w:eastAsia="Times New Roman" w:cs="Times New Roman"/>
          <w:b/>
          <w:i/>
        </w:rPr>
        <w:t>Highest Level of Education Completed.</w:t>
      </w:r>
      <w:r w:rsidRPr="00833FB8">
        <w:rPr>
          <w:rFonts w:eastAsia="Times New Roman" w:cs="Times New Roman"/>
        </w:rPr>
        <w:t xml:space="preserve">  </w:t>
      </w:r>
      <w:r w:rsidR="00DA1DEE">
        <w:rPr>
          <w:rFonts w:eastAsia="Times New Roman" w:cs="Times New Roman"/>
        </w:rPr>
        <w:t>28%</w:t>
      </w:r>
      <w:r w:rsidRPr="00833FB8">
        <w:rPr>
          <w:rFonts w:eastAsia="Times New Roman" w:cs="Times New Roman"/>
        </w:rPr>
        <w:t xml:space="preserve"> of Class Members have earned a high school diploma and an additional 7% were reported as having earning a General Equivalency Degree (GED).  25% of Class Members completed some high school (e.g., one, two or three years) with no diploma earned.  19% have completed some college, and 5% hold a Bachelor’s Degree.  A small percentage (1.5%) of Class Members completed post-secondary training and 1.2% has completed post graduate training.  The highest level of education completed by approximately 3.0% of class members was 8</w:t>
      </w:r>
      <w:r w:rsidRPr="00833FB8">
        <w:rPr>
          <w:rFonts w:eastAsia="Times New Roman" w:cs="Times New Roman"/>
          <w:vertAlign w:val="superscript"/>
        </w:rPr>
        <w:t>th</w:t>
      </w:r>
      <w:r w:rsidRPr="00833FB8">
        <w:rPr>
          <w:rFonts w:eastAsia="Times New Roman" w:cs="Times New Roman"/>
        </w:rPr>
        <w:t xml:space="preserve"> grade.  Education level was not reported for approximately 10% of registered Class Members. </w:t>
      </w:r>
    </w:p>
    <w:p w:rsidR="00B02988" w:rsidRPr="00833FB8" w:rsidRDefault="00B02988" w:rsidP="00B02988">
      <w:pPr>
        <w:spacing w:after="0"/>
        <w:rPr>
          <w:rFonts w:eastAsia="Times New Roman" w:cs="Times New Roman"/>
        </w:rPr>
      </w:pPr>
    </w:p>
    <w:p w:rsidR="00B02988" w:rsidRPr="00833FB8" w:rsidRDefault="00B02988" w:rsidP="00B02988">
      <w:pPr>
        <w:autoSpaceDE w:val="0"/>
        <w:autoSpaceDN w:val="0"/>
        <w:adjustRightInd w:val="0"/>
        <w:spacing w:after="0"/>
        <w:rPr>
          <w:rFonts w:cs="Times New Roman"/>
          <w:bCs/>
        </w:rPr>
      </w:pPr>
      <w:r w:rsidRPr="00833FB8">
        <w:rPr>
          <w:rFonts w:cs="Times New Roman"/>
          <w:b/>
          <w:bCs/>
          <w:i/>
        </w:rPr>
        <w:t xml:space="preserve">Residential Living Arrangement.  </w:t>
      </w:r>
      <w:r w:rsidRPr="00833FB8">
        <w:rPr>
          <w:rFonts w:cs="Times New Roman"/>
          <w:bCs/>
        </w:rPr>
        <w:t>As of April 30</w:t>
      </w:r>
      <w:r w:rsidRPr="00833FB8">
        <w:rPr>
          <w:rFonts w:cs="Times New Roman"/>
          <w:bCs/>
          <w:vertAlign w:val="superscript"/>
        </w:rPr>
        <w:t>th</w:t>
      </w:r>
      <w:r w:rsidRPr="00833FB8">
        <w:rPr>
          <w:rFonts w:cs="Times New Roman"/>
          <w:bCs/>
        </w:rPr>
        <w:t xml:space="preserve">  36% of the individuals were reported as residing in private unsupervised settings (permanent supportive housing), another 4% were reported as living in other unsupervised settings; 10% were reported as living in supervised s</w:t>
      </w:r>
      <w:r w:rsidR="00DA1DEE">
        <w:rPr>
          <w:rFonts w:cs="Times New Roman"/>
          <w:bCs/>
        </w:rPr>
        <w:t>et</w:t>
      </w:r>
      <w:r w:rsidRPr="00833FB8">
        <w:rPr>
          <w:rFonts w:cs="Times New Roman"/>
          <w:bCs/>
        </w:rPr>
        <w:t>tings;  and 44% were reported as residing in institutional settings.  Data was not reported for 56 individuals (4.5%), and a small percentage of individuals were reported as residing in settings other than the ones reported above.</w:t>
      </w:r>
    </w:p>
    <w:p w:rsidR="00B02988" w:rsidRPr="00833FB8" w:rsidRDefault="00B02988" w:rsidP="00B02988">
      <w:pPr>
        <w:autoSpaceDE w:val="0"/>
        <w:autoSpaceDN w:val="0"/>
        <w:adjustRightInd w:val="0"/>
        <w:spacing w:after="0"/>
        <w:rPr>
          <w:rFonts w:cs="Times New Roman"/>
          <w:bCs/>
        </w:rPr>
      </w:pPr>
    </w:p>
    <w:p w:rsidR="00B02988" w:rsidRPr="00833FB8" w:rsidRDefault="00B02988" w:rsidP="00B02988">
      <w:pPr>
        <w:autoSpaceDE w:val="0"/>
        <w:autoSpaceDN w:val="0"/>
        <w:adjustRightInd w:val="0"/>
        <w:spacing w:after="0"/>
        <w:rPr>
          <w:rFonts w:cs="Times New Roman"/>
          <w:bCs/>
        </w:rPr>
      </w:pPr>
      <w:r w:rsidRPr="00833FB8">
        <w:rPr>
          <w:rFonts w:cs="Times New Roman"/>
          <w:b/>
          <w:bCs/>
          <w:i/>
        </w:rPr>
        <w:lastRenderedPageBreak/>
        <w:t>Military Status</w:t>
      </w:r>
      <w:r w:rsidRPr="00833FB8">
        <w:rPr>
          <w:rFonts w:cs="Times New Roman"/>
          <w:bCs/>
        </w:rPr>
        <w:t xml:space="preserve">.  </w:t>
      </w:r>
      <w:r w:rsidR="00DA1DEE">
        <w:rPr>
          <w:rFonts w:cs="Times New Roman"/>
          <w:bCs/>
        </w:rPr>
        <w:t>5%</w:t>
      </w:r>
      <w:r w:rsidRPr="00833FB8">
        <w:rPr>
          <w:rFonts w:cs="Times New Roman"/>
          <w:bCs/>
        </w:rPr>
        <w:t xml:space="preserve"> of Class Members reported being a veteran having formerly served in the military.</w:t>
      </w:r>
    </w:p>
    <w:p w:rsidR="00B02988" w:rsidRPr="00833FB8" w:rsidRDefault="00B02988" w:rsidP="00B02988">
      <w:pPr>
        <w:autoSpaceDE w:val="0"/>
        <w:autoSpaceDN w:val="0"/>
        <w:adjustRightInd w:val="0"/>
        <w:spacing w:after="0"/>
        <w:rPr>
          <w:rFonts w:cs="Times New Roman"/>
          <w:bCs/>
        </w:rPr>
      </w:pPr>
    </w:p>
    <w:p w:rsidR="00B02988" w:rsidRPr="00833FB8" w:rsidRDefault="00B02988" w:rsidP="00B02988">
      <w:pPr>
        <w:autoSpaceDE w:val="0"/>
        <w:autoSpaceDN w:val="0"/>
        <w:adjustRightInd w:val="0"/>
        <w:spacing w:after="0"/>
        <w:rPr>
          <w:rFonts w:cs="Times New Roman"/>
          <w:bCs/>
        </w:rPr>
      </w:pPr>
      <w:r w:rsidRPr="00833FB8">
        <w:rPr>
          <w:rFonts w:cs="Times New Roman"/>
          <w:b/>
          <w:bCs/>
          <w:i/>
        </w:rPr>
        <w:t>Primary Language.</w:t>
      </w:r>
      <w:r w:rsidRPr="00833FB8">
        <w:rPr>
          <w:rFonts w:cs="Times New Roman"/>
          <w:bCs/>
        </w:rPr>
        <w:t xml:space="preserve">  The primary language spoken by 99% of Class Members included in this analysis was English.</w:t>
      </w:r>
    </w:p>
    <w:p w:rsidR="00B02988" w:rsidRPr="00833FB8" w:rsidRDefault="00B02988" w:rsidP="00B02988">
      <w:pPr>
        <w:autoSpaceDE w:val="0"/>
        <w:autoSpaceDN w:val="0"/>
        <w:adjustRightInd w:val="0"/>
        <w:spacing w:after="0"/>
        <w:rPr>
          <w:rFonts w:cs="Times New Roman"/>
          <w:bCs/>
        </w:rPr>
      </w:pPr>
    </w:p>
    <w:p w:rsidR="00B02988" w:rsidRPr="00833FB8" w:rsidRDefault="00B02988" w:rsidP="00B02988">
      <w:pPr>
        <w:autoSpaceDE w:val="0"/>
        <w:autoSpaceDN w:val="0"/>
        <w:adjustRightInd w:val="0"/>
        <w:spacing w:after="0"/>
        <w:rPr>
          <w:rFonts w:cs="Times New Roman"/>
          <w:bCs/>
        </w:rPr>
      </w:pPr>
      <w:r w:rsidRPr="00833FB8">
        <w:rPr>
          <w:rFonts w:cs="Times New Roman"/>
          <w:b/>
          <w:bCs/>
          <w:i/>
        </w:rPr>
        <w:t>Justice System Involvement.</w:t>
      </w:r>
      <w:r w:rsidRPr="00833FB8">
        <w:rPr>
          <w:rFonts w:cs="Times New Roman"/>
          <w:bCs/>
        </w:rPr>
        <w:t xml:space="preserve">  The majority (91%) of Class Members were reported as not having any involvement with the justice system (courts, jails etc).  However, .4% (n=5) had been arrested, and a very small percentage reportedly had been charged with a crime (.5%; n=6), or incarcerated in a jail (.3% or 4 individuals). An additional 6 Class Members (.5%) had a status at some point of being on parole or probation.  The status of 6% (n=74) was reported as unknown; 1.5% (n=19) were reported as having a status of “Other”35+ at the time that the individual was registered/re-registered.</w:t>
      </w:r>
    </w:p>
    <w:p w:rsidR="00B02988" w:rsidRPr="00833FB8" w:rsidRDefault="00B02988" w:rsidP="00B02988">
      <w:pPr>
        <w:autoSpaceDE w:val="0"/>
        <w:autoSpaceDN w:val="0"/>
        <w:adjustRightInd w:val="0"/>
        <w:spacing w:after="0"/>
        <w:rPr>
          <w:rFonts w:cs="Times New Roman"/>
          <w:bCs/>
        </w:rPr>
      </w:pPr>
    </w:p>
    <w:p w:rsidR="00B02988" w:rsidRPr="00833FB8" w:rsidRDefault="00B02988" w:rsidP="00B02988">
      <w:pPr>
        <w:autoSpaceDE w:val="0"/>
        <w:autoSpaceDN w:val="0"/>
        <w:adjustRightInd w:val="0"/>
        <w:spacing w:after="0"/>
        <w:rPr>
          <w:rFonts w:cs="Times New Roman"/>
          <w:bCs/>
        </w:rPr>
      </w:pPr>
      <w:r w:rsidRPr="00833FB8">
        <w:rPr>
          <w:rFonts w:cs="Times New Roman"/>
          <w:b/>
          <w:bCs/>
          <w:i/>
        </w:rPr>
        <w:t xml:space="preserve">History of Mental Health Treatment.  </w:t>
      </w:r>
      <w:r w:rsidRPr="00833FB8">
        <w:rPr>
          <w:rFonts w:cs="Times New Roman"/>
          <w:bCs/>
        </w:rPr>
        <w:t>During the registration process, information is gathered regarding an individual’s history of mental health treatment.  54% have a history of continuous treatment for mental health related problems, 80% have a history of continuous residential treatment.  86% of Class Members have a history of receiving outpatient mental health services for their illnesses.</w:t>
      </w:r>
    </w:p>
    <w:p w:rsidR="00B02988" w:rsidRPr="00833FB8" w:rsidRDefault="00B02988" w:rsidP="00B02988">
      <w:pPr>
        <w:spacing w:after="0"/>
        <w:rPr>
          <w:rFonts w:eastAsia="Times New Roman" w:cs="Times New Roman"/>
        </w:rPr>
      </w:pPr>
    </w:p>
    <w:p w:rsidR="00B02988" w:rsidRPr="00833FB8" w:rsidRDefault="00B02988" w:rsidP="00B02988">
      <w:pPr>
        <w:spacing w:after="0"/>
        <w:rPr>
          <w:rFonts w:eastAsia="Times New Roman" w:cs="Times New Roman"/>
        </w:rPr>
      </w:pPr>
      <w:r w:rsidRPr="00833FB8">
        <w:rPr>
          <w:rFonts w:eastAsia="Times New Roman" w:cs="Times New Roman"/>
          <w:b/>
          <w:i/>
        </w:rPr>
        <w:t>Level of Care Utilization Scale Scores Based on Assessor Recommendation</w:t>
      </w:r>
      <w:r w:rsidRPr="00833FB8">
        <w:rPr>
          <w:rFonts w:eastAsia="Times New Roman" w:cs="Times New Roman"/>
          <w:i/>
        </w:rPr>
        <w:t>.</w:t>
      </w:r>
      <w:r w:rsidRPr="00833FB8">
        <w:rPr>
          <w:rFonts w:eastAsia="Times New Roman" w:cs="Times New Roman"/>
        </w:rPr>
        <w:t xml:space="preserve">  35% of the class members included in this analysis were recommended by the assessor to receive high intensity community based services (level 3) based on the results of the LOCUS assessment.  An additional 44</w:t>
      </w:r>
      <w:r w:rsidR="00DA1DEE">
        <w:rPr>
          <w:rFonts w:eastAsia="Times New Roman" w:cs="Times New Roman"/>
        </w:rPr>
        <w:t>%</w:t>
      </w:r>
      <w:r w:rsidRPr="00833FB8">
        <w:rPr>
          <w:rFonts w:eastAsia="Times New Roman" w:cs="Times New Roman"/>
        </w:rPr>
        <w:t xml:space="preserve"> were recommended for Medically Monitored Non-Residential Services.  </w:t>
      </w:r>
      <w:r w:rsidR="00DA1DEE">
        <w:rPr>
          <w:rFonts w:eastAsia="Times New Roman" w:cs="Times New Roman"/>
        </w:rPr>
        <w:t>6%</w:t>
      </w:r>
      <w:r w:rsidRPr="00833FB8">
        <w:rPr>
          <w:rFonts w:eastAsia="Times New Roman" w:cs="Times New Roman"/>
        </w:rPr>
        <w:t xml:space="preserve"> of Class Members were recommended for Medically Monitored Residential Services, while 2.8% were recommend for a Medically Managed level of Residential Services. 3.8% percent were recommended for Low Intensity Community-Based Services, while .3% were recommended for Recovery Maintenance and Health Management.  LOCUS scores were missing for approximately 7.6% of the cohort.</w:t>
      </w:r>
    </w:p>
    <w:p w:rsidR="00B02988" w:rsidRPr="00833FB8" w:rsidRDefault="00B02988" w:rsidP="00B02988">
      <w:pPr>
        <w:spacing w:after="0"/>
        <w:rPr>
          <w:rFonts w:eastAsia="Times New Roman" w:cs="Times New Roman"/>
        </w:rPr>
      </w:pPr>
    </w:p>
    <w:p w:rsidR="00B02988" w:rsidRPr="00833FB8" w:rsidRDefault="00B02988" w:rsidP="00B02988">
      <w:pPr>
        <w:spacing w:after="0"/>
        <w:rPr>
          <w:rFonts w:eastAsia="Times New Roman" w:cs="Times New Roman"/>
        </w:rPr>
      </w:pPr>
      <w:r w:rsidRPr="00833FB8">
        <w:rPr>
          <w:rFonts w:eastAsia="Times New Roman" w:cs="Times New Roman"/>
          <w:b/>
          <w:i/>
        </w:rPr>
        <w:t>Diagnosis.</w:t>
      </w:r>
      <w:r w:rsidRPr="00833FB8">
        <w:rPr>
          <w:rFonts w:eastAsia="Times New Roman" w:cs="Times New Roman"/>
        </w:rPr>
        <w:t xml:space="preserve">  73% of class members had a primary diagnosis of schizophrenia and other psychotic disorders; 24% were diagnosed with bipolar and mood disorders. </w:t>
      </w:r>
      <w:r w:rsidR="00DA1DEE">
        <w:rPr>
          <w:rFonts w:eastAsia="Times New Roman" w:cs="Times New Roman"/>
        </w:rPr>
        <w:t>16%</w:t>
      </w:r>
      <w:r w:rsidRPr="00833FB8">
        <w:rPr>
          <w:rFonts w:eastAsia="Times New Roman" w:cs="Times New Roman"/>
        </w:rPr>
        <w:t xml:space="preserve"> had a co-morbid substance use disorder.</w:t>
      </w:r>
    </w:p>
    <w:p w:rsidR="00B02988" w:rsidRPr="00833FB8" w:rsidRDefault="00B02988" w:rsidP="00B02988">
      <w:pPr>
        <w:autoSpaceDE w:val="0"/>
        <w:autoSpaceDN w:val="0"/>
        <w:adjustRightInd w:val="0"/>
        <w:spacing w:after="0"/>
        <w:rPr>
          <w:rFonts w:cs="Times New Roman"/>
        </w:rPr>
      </w:pPr>
    </w:p>
    <w:p w:rsidR="00B02988" w:rsidRPr="00833FB8" w:rsidRDefault="00B02988" w:rsidP="00B02988">
      <w:pPr>
        <w:autoSpaceDE w:val="0"/>
        <w:autoSpaceDN w:val="0"/>
        <w:adjustRightInd w:val="0"/>
        <w:spacing w:after="0"/>
        <w:rPr>
          <w:rFonts w:cs="Times New Roman"/>
          <w:bCs/>
        </w:rPr>
      </w:pPr>
      <w:r w:rsidRPr="00833FB8">
        <w:rPr>
          <w:rFonts w:cs="Times New Roman"/>
          <w:b/>
          <w:i/>
        </w:rPr>
        <w:t>Functional Impairment.</w:t>
      </w:r>
      <w:r w:rsidRPr="00833FB8">
        <w:rPr>
          <w:rFonts w:cs="Times New Roman"/>
        </w:rPr>
        <w:t xml:space="preserve">  The Global Assessment of Functioning (GAF) Scale (also known as Axis 5 of the DSM-IV) is used to determine functional impairment of an individual in the psychological, social and occupational spheres of their lives.  The scale ranges from 1 to 100 with 1 representing lowest level of functioning or the highest level of impairment.  Class members GAF scores ranged from 15 to 70 with an average of 44 which represents…” </w:t>
      </w:r>
      <w:r w:rsidRPr="00833FB8">
        <w:rPr>
          <w:rFonts w:cs="Times New Roman"/>
          <w:bCs/>
        </w:rPr>
        <w:t xml:space="preserve">Serious symptoms or any serious impairment in social, occupational, or school functioning”. </w:t>
      </w:r>
    </w:p>
    <w:p w:rsidR="00B02988" w:rsidRPr="00833FB8" w:rsidRDefault="00B02988" w:rsidP="00B02988">
      <w:pPr>
        <w:autoSpaceDE w:val="0"/>
        <w:autoSpaceDN w:val="0"/>
        <w:adjustRightInd w:val="0"/>
        <w:spacing w:after="0"/>
        <w:rPr>
          <w:rFonts w:cs="Times New Roman"/>
          <w:bCs/>
        </w:rPr>
      </w:pPr>
    </w:p>
    <w:p w:rsidR="00B02988" w:rsidRPr="00833FB8" w:rsidRDefault="00B02988" w:rsidP="00B02988">
      <w:pPr>
        <w:autoSpaceDE w:val="0"/>
        <w:autoSpaceDN w:val="0"/>
        <w:adjustRightInd w:val="0"/>
        <w:spacing w:after="0"/>
        <w:rPr>
          <w:rFonts w:cs="Times New Roman"/>
          <w:bCs/>
        </w:rPr>
      </w:pPr>
      <w:r w:rsidRPr="00833FB8">
        <w:rPr>
          <w:rFonts w:cs="Times New Roman"/>
          <w:b/>
          <w:bCs/>
          <w:i/>
        </w:rPr>
        <w:t>Other Areas of Functional Impairment.</w:t>
      </w:r>
      <w:r w:rsidRPr="00833FB8">
        <w:rPr>
          <w:rFonts w:cs="Times New Roman"/>
          <w:bCs/>
        </w:rPr>
        <w:t xml:space="preserve">  DMH providers are asked to rate an individual’s serious functional impairment in 7 areas as part of the registration/enrollment process: Social/Group Functioning, Employment, Community Living, Financial, Supportive/Social, Daily Living Activities and Inappropriate</w:t>
      </w:r>
      <w:r w:rsidR="00DA1DEE">
        <w:rPr>
          <w:rFonts w:cs="Times New Roman"/>
          <w:bCs/>
        </w:rPr>
        <w:t>/</w:t>
      </w:r>
      <w:r w:rsidRPr="00833FB8">
        <w:rPr>
          <w:rFonts w:cs="Times New Roman"/>
          <w:bCs/>
        </w:rPr>
        <w:t xml:space="preserve">Dangerous Behavior.  82% of class members were identified as having a serious functional impairment in the employment area, 81% in the financial area, 81% in Social/Group functioning and 76% </w:t>
      </w:r>
      <w:r w:rsidRPr="00833FB8">
        <w:rPr>
          <w:rFonts w:cs="Times New Roman"/>
          <w:bCs/>
        </w:rPr>
        <w:lastRenderedPageBreak/>
        <w:t>in Community Living area.  63% had a serious functional impairment in the supportive/social area, 55% in activities of daily living and 42% had a serious impairment in relation to inappropriate or dangerous behavior.</w:t>
      </w:r>
    </w:p>
    <w:p w:rsidR="00B02988" w:rsidRPr="00833FB8" w:rsidRDefault="00B02988" w:rsidP="00B02988">
      <w:pPr>
        <w:autoSpaceDE w:val="0"/>
        <w:autoSpaceDN w:val="0"/>
        <w:adjustRightInd w:val="0"/>
        <w:spacing w:after="0"/>
        <w:rPr>
          <w:rFonts w:cs="Times New Roman"/>
          <w:bCs/>
        </w:rPr>
      </w:pPr>
    </w:p>
    <w:p w:rsidR="00B02988" w:rsidRPr="00833FB8" w:rsidRDefault="00B02988" w:rsidP="00D56266">
      <w:pPr>
        <w:autoSpaceDE w:val="0"/>
        <w:autoSpaceDN w:val="0"/>
        <w:adjustRightInd w:val="0"/>
        <w:spacing w:after="0"/>
        <w:rPr>
          <w:rFonts w:cs="Times New Roman"/>
          <w:b/>
          <w:bCs/>
          <w:i/>
        </w:rPr>
      </w:pPr>
      <w:r w:rsidRPr="00833FB8">
        <w:rPr>
          <w:rFonts w:cs="Times New Roman"/>
          <w:b/>
          <w:bCs/>
          <w:i/>
        </w:rPr>
        <w:t>Comparison to Previous Analysis for April 2015 Cohort</w:t>
      </w:r>
    </w:p>
    <w:p w:rsidR="00B02988" w:rsidRDefault="00B02988" w:rsidP="00D56266">
      <w:pPr>
        <w:autoSpaceDE w:val="0"/>
        <w:autoSpaceDN w:val="0"/>
        <w:adjustRightInd w:val="0"/>
        <w:spacing w:after="0"/>
        <w:rPr>
          <w:rFonts w:cs="Times New Roman"/>
          <w:bCs/>
        </w:rPr>
      </w:pPr>
      <w:r w:rsidRPr="00833FB8">
        <w:rPr>
          <w:rFonts w:cs="Times New Roman"/>
          <w:bCs/>
        </w:rPr>
        <w:t>The prior analysis of descriptive demographic and clinical data for Williams Class Members registered in the DMH Community Information System was performed in November 2014 for class members registered as of November 10, 2014.  A comparison of the data for these 2 time periods reveals that there is very little variability in the descriptive information reported</w:t>
      </w:r>
      <w:r w:rsidR="00DA1DEE">
        <w:rPr>
          <w:rFonts w:cs="Times New Roman"/>
          <w:bCs/>
        </w:rPr>
        <w:t>.</w:t>
      </w:r>
      <w:r w:rsidRPr="00833FB8">
        <w:rPr>
          <w:rFonts w:cs="Times New Roman"/>
          <w:bCs/>
        </w:rPr>
        <w:t xml:space="preserve">  </w:t>
      </w:r>
    </w:p>
    <w:p w:rsidR="004A452E" w:rsidRDefault="004A452E" w:rsidP="00D56266">
      <w:pPr>
        <w:autoSpaceDE w:val="0"/>
        <w:autoSpaceDN w:val="0"/>
        <w:adjustRightInd w:val="0"/>
        <w:spacing w:after="0"/>
        <w:rPr>
          <w:rFonts w:cs="Times New Roman"/>
          <w:bCs/>
        </w:rPr>
      </w:pPr>
    </w:p>
    <w:p w:rsidR="004A452E" w:rsidRDefault="004A452E" w:rsidP="00D56266">
      <w:pPr>
        <w:autoSpaceDE w:val="0"/>
        <w:autoSpaceDN w:val="0"/>
        <w:adjustRightInd w:val="0"/>
        <w:spacing w:after="0"/>
        <w:rPr>
          <w:rFonts w:cs="Times New Roman"/>
          <w:bCs/>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D0438" w:rsidRDefault="008D0438" w:rsidP="00860CD4">
      <w:pPr>
        <w:spacing w:after="0"/>
        <w:jc w:val="center"/>
        <w:rPr>
          <w:b/>
          <w:sz w:val="24"/>
          <w:szCs w:val="24"/>
        </w:rPr>
      </w:pPr>
    </w:p>
    <w:p w:rsidR="008D0438" w:rsidRDefault="008D0438" w:rsidP="00860CD4">
      <w:pPr>
        <w:spacing w:after="0"/>
        <w:jc w:val="center"/>
        <w:rPr>
          <w:b/>
          <w:sz w:val="24"/>
          <w:szCs w:val="24"/>
        </w:rPr>
      </w:pPr>
    </w:p>
    <w:p w:rsidR="008D0438" w:rsidRDefault="008D0438" w:rsidP="00860CD4">
      <w:pPr>
        <w:spacing w:after="0"/>
        <w:jc w:val="center"/>
        <w:rPr>
          <w:b/>
          <w:sz w:val="24"/>
          <w:szCs w:val="24"/>
        </w:rPr>
      </w:pPr>
    </w:p>
    <w:p w:rsidR="008D0438" w:rsidRDefault="008D0438" w:rsidP="00860CD4">
      <w:pPr>
        <w:spacing w:after="0"/>
        <w:jc w:val="center"/>
        <w:rPr>
          <w:b/>
          <w:sz w:val="24"/>
          <w:szCs w:val="24"/>
        </w:rPr>
      </w:pPr>
    </w:p>
    <w:p w:rsidR="004A452E" w:rsidRPr="00F477D6" w:rsidRDefault="004A452E" w:rsidP="00860CD4">
      <w:pPr>
        <w:spacing w:after="0"/>
        <w:jc w:val="center"/>
        <w:rPr>
          <w:b/>
          <w:sz w:val="24"/>
          <w:szCs w:val="24"/>
        </w:rPr>
      </w:pPr>
      <w:r w:rsidRPr="00F477D6">
        <w:rPr>
          <w:b/>
          <w:sz w:val="24"/>
          <w:szCs w:val="24"/>
        </w:rPr>
        <w:lastRenderedPageBreak/>
        <w:t>Williams Class Member Quality of Life Survey Report</w:t>
      </w:r>
    </w:p>
    <w:p w:rsidR="004A452E" w:rsidRPr="005E5116" w:rsidRDefault="004A452E" w:rsidP="00860CD4">
      <w:pPr>
        <w:spacing w:after="0"/>
      </w:pPr>
    </w:p>
    <w:p w:rsidR="004A452E" w:rsidRPr="005E5116" w:rsidRDefault="004A452E" w:rsidP="00860CD4">
      <w:pPr>
        <w:spacing w:after="0"/>
      </w:pPr>
      <w:r w:rsidRPr="005E5116">
        <w:t>The Division of Mental Health considers the evaluation of care provided directly from Class Members to be of paramount importance in evaluating the services received by these individuals.  Quality of Life surveys, which are administered to Class Members prior to discharge from the IMDs in which they reside and at 6 month intervals post discharge (up to 18 months), are used to gather this information.  Quality of Life surveys used to are comprised of two separate surveys: the Lehmann Brief Quality of Life Survey and the Mental Health Statistics Improvement Program (MHSIP) Adult Evaluation of Care Survey.  This report will focus on the results of the later survey.</w:t>
      </w:r>
    </w:p>
    <w:p w:rsidR="004A452E" w:rsidRPr="005E5116" w:rsidRDefault="004A452E" w:rsidP="00860CD4">
      <w:pPr>
        <w:spacing w:after="0"/>
      </w:pPr>
    </w:p>
    <w:p w:rsidR="004A452E" w:rsidRPr="005E5116" w:rsidRDefault="004A452E" w:rsidP="00860CD4">
      <w:pPr>
        <w:spacing w:after="0"/>
        <w:rPr>
          <w:b/>
          <w:u w:val="single"/>
        </w:rPr>
      </w:pPr>
      <w:r w:rsidRPr="005E5116">
        <w:rPr>
          <w:b/>
          <w:u w:val="single"/>
        </w:rPr>
        <w:t>Evaluation of Care Results</w:t>
      </w:r>
    </w:p>
    <w:p w:rsidR="004A452E" w:rsidRDefault="004A452E" w:rsidP="00860CD4">
      <w:pPr>
        <w:spacing w:after="0"/>
      </w:pPr>
    </w:p>
    <w:p w:rsidR="004A452E" w:rsidRPr="005E5116" w:rsidRDefault="004A452E" w:rsidP="00860CD4">
      <w:pPr>
        <w:spacing w:after="0"/>
      </w:pPr>
      <w:r w:rsidRPr="005E5116">
        <w:t>The evaluation of care survey has seven domains:  access to care, quality and appropriateness of treatment, treatment outcome, participation in treatment planning, satisfaction with services, improvement in functioning and social connectedness with others.   Prior reports have noted positive change across time on nearly every one of these domains.  The findings</w:t>
      </w:r>
      <w:r w:rsidR="00DA1DEE">
        <w:t xml:space="preserve"> for this reporting period</w:t>
      </w:r>
      <w:r w:rsidRPr="005E5116">
        <w:t xml:space="preserve"> are much the same.</w:t>
      </w:r>
    </w:p>
    <w:p w:rsidR="004A452E" w:rsidRPr="005E5116" w:rsidRDefault="004A452E" w:rsidP="00860CD4">
      <w:pPr>
        <w:spacing w:after="0"/>
      </w:pPr>
    </w:p>
    <w:p w:rsidR="004A452E" w:rsidRDefault="004A452E" w:rsidP="004A452E">
      <w:r w:rsidRPr="005E5116">
        <w:t>Table 1 displays the percentage of class members’ positive responses for each evaluation domain across time: 30 days prior to transition from the IMD</w:t>
      </w:r>
      <w:r w:rsidR="00DA1DEE">
        <w:t xml:space="preserve"> and</w:t>
      </w:r>
      <w:r w:rsidRPr="005E5116">
        <w:t xml:space="preserve"> at 6 months, 12 months and 18 months post transition to the community.  The results are presented for </w:t>
      </w:r>
      <w:r w:rsidRPr="005E5116">
        <w:rPr>
          <w:u w:val="single"/>
        </w:rPr>
        <w:t>all</w:t>
      </w:r>
      <w:r w:rsidRPr="005E5116">
        <w:t xml:space="preserve"> individuals completing the evaluation surveys regardless of whether they completed surveys at each point in time.  Class Members</w:t>
      </w:r>
      <w:r w:rsidR="00DA1DEE">
        <w:t>’</w:t>
      </w:r>
      <w:r w:rsidRPr="005E5116">
        <w:t xml:space="preserve"> evaluation of their satisfaction with treatment evidenced the most change across time, followed by evaluation of access to care, quality of treatment and participation in their treatment plan development.  Class Members</w:t>
      </w:r>
      <w:r w:rsidR="00DA1DEE">
        <w:t>’</w:t>
      </w:r>
      <w:r w:rsidRPr="005E5116">
        <w:t xml:space="preserve"> evaluation of their functioning, treatment outcomes and social connectedness remained relatively stable across time—although some small positive changes were noted.</w:t>
      </w:r>
    </w:p>
    <w:p w:rsidR="004A452E" w:rsidRPr="005E5116" w:rsidRDefault="004A452E" w:rsidP="004A452E">
      <w:pPr>
        <w:jc w:val="center"/>
        <w:rPr>
          <w:b/>
        </w:rPr>
      </w:pPr>
      <w:r w:rsidRPr="005E5116">
        <w:rPr>
          <w:b/>
        </w:rPr>
        <w:t>Table 1</w:t>
      </w:r>
    </w:p>
    <w:p w:rsidR="004A452E" w:rsidRPr="005E5116" w:rsidRDefault="004A452E" w:rsidP="004A452E">
      <w:pPr>
        <w:jc w:val="center"/>
      </w:pPr>
      <w:r w:rsidRPr="005E5116">
        <w:rPr>
          <w:b/>
        </w:rPr>
        <w:t>Percentage of Positive Class Member Responses By Evaluation Domain Across Time</w:t>
      </w:r>
    </w:p>
    <w:tbl>
      <w:tblPr>
        <w:tblW w:w="9375" w:type="dxa"/>
        <w:tblInd w:w="93" w:type="dxa"/>
        <w:tblLook w:val="04A0" w:firstRow="1" w:lastRow="0" w:firstColumn="1" w:lastColumn="0" w:noHBand="0" w:noVBand="1"/>
      </w:tblPr>
      <w:tblGrid>
        <w:gridCol w:w="3435"/>
        <w:gridCol w:w="1800"/>
        <w:gridCol w:w="1350"/>
        <w:gridCol w:w="1440"/>
        <w:gridCol w:w="1350"/>
      </w:tblGrid>
      <w:tr w:rsidR="004A452E" w:rsidRPr="005E5116" w:rsidTr="004A452E">
        <w:trPr>
          <w:trHeight w:val="310"/>
        </w:trPr>
        <w:tc>
          <w:tcPr>
            <w:tcW w:w="3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A452E" w:rsidRPr="005E5116" w:rsidRDefault="004A452E" w:rsidP="00E45FED">
            <w:pPr>
              <w:spacing w:after="0"/>
              <w:rPr>
                <w:rFonts w:eastAsia="Times New Roman" w:cs="Times New Roman"/>
                <w:color w:val="000000"/>
              </w:rPr>
            </w:pPr>
            <w:r w:rsidRPr="005E511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Pre-Transition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6 Months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12 Months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18 Months</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Evaluation Domain</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4A452E" w:rsidRPr="005E5116" w:rsidRDefault="004A452E" w:rsidP="00E45FED">
            <w:pPr>
              <w:spacing w:after="0"/>
              <w:rPr>
                <w:rFonts w:eastAsia="Times New Roman" w:cs="Times New Roman"/>
                <w:color w:val="000000"/>
              </w:rPr>
            </w:pPr>
            <w:r w:rsidRPr="005E5116">
              <w:rPr>
                <w:rFonts w:eastAsia="Times New Roman" w:cs="Times New Roman"/>
                <w:color w:val="000000"/>
              </w:rPr>
              <w:t> </w:t>
            </w:r>
          </w:p>
        </w:tc>
        <w:tc>
          <w:tcPr>
            <w:tcW w:w="1350" w:type="dxa"/>
            <w:tcBorders>
              <w:top w:val="nil"/>
              <w:left w:val="nil"/>
              <w:bottom w:val="single" w:sz="4" w:space="0" w:color="auto"/>
              <w:right w:val="single" w:sz="4" w:space="0" w:color="auto"/>
            </w:tcBorders>
            <w:shd w:val="clear" w:color="auto" w:fill="D9D9D9" w:themeFill="background1" w:themeFillShade="D9"/>
            <w:noWrap/>
            <w:vAlign w:val="bottom"/>
            <w:hideMark/>
          </w:tcPr>
          <w:p w:rsidR="004A452E" w:rsidRPr="005E5116" w:rsidRDefault="004A452E" w:rsidP="00E45FED">
            <w:pPr>
              <w:spacing w:after="0"/>
              <w:rPr>
                <w:rFonts w:eastAsia="Times New Roman" w:cs="Times New Roman"/>
                <w:color w:val="000000"/>
              </w:rPr>
            </w:pPr>
            <w:r w:rsidRPr="005E5116">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A452E" w:rsidRPr="005E5116" w:rsidRDefault="004A452E" w:rsidP="00E45FED">
            <w:pPr>
              <w:spacing w:after="0"/>
              <w:rPr>
                <w:rFonts w:eastAsia="Times New Roman" w:cs="Times New Roman"/>
                <w:color w:val="000000"/>
              </w:rPr>
            </w:pPr>
            <w:r w:rsidRPr="005E5116">
              <w:rPr>
                <w:rFonts w:eastAsia="Times New Roman" w:cs="Times New Roman"/>
                <w:color w:val="000000"/>
              </w:rPr>
              <w:t> </w:t>
            </w:r>
          </w:p>
        </w:tc>
        <w:tc>
          <w:tcPr>
            <w:tcW w:w="1350" w:type="dxa"/>
            <w:tcBorders>
              <w:top w:val="nil"/>
              <w:left w:val="nil"/>
              <w:bottom w:val="single" w:sz="4" w:space="0" w:color="auto"/>
              <w:right w:val="single" w:sz="4" w:space="0" w:color="auto"/>
            </w:tcBorders>
            <w:shd w:val="clear" w:color="auto" w:fill="D9D9D9" w:themeFill="background1" w:themeFillShade="D9"/>
            <w:noWrap/>
            <w:vAlign w:val="bottom"/>
            <w:hideMark/>
          </w:tcPr>
          <w:p w:rsidR="004A452E" w:rsidRPr="005E5116" w:rsidRDefault="004A452E" w:rsidP="00E45FED">
            <w:pPr>
              <w:spacing w:after="0"/>
              <w:rPr>
                <w:rFonts w:eastAsia="Times New Roman" w:cs="Times New Roman"/>
                <w:color w:val="000000"/>
              </w:rPr>
            </w:pPr>
            <w:r w:rsidRPr="005E5116">
              <w:rPr>
                <w:rFonts w:eastAsia="Times New Roman" w:cs="Times New Roman"/>
                <w:color w:val="000000"/>
              </w:rPr>
              <w:t> </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Access</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75.3</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89.2</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91</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94.5</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Quality</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78.3</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90.8</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92.5</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96</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Outcome</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92.3</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92.4</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90.9</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93.7</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Satisfaction</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64.3</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86.3</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90.8</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92.3</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Social Connectedness</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90.3</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93.1</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92.7</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92.2</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Functioning</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95</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93.3</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95.8</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97.4</w:t>
            </w:r>
          </w:p>
        </w:tc>
      </w:tr>
      <w:tr w:rsidR="004A452E" w:rsidRPr="005E5116" w:rsidTr="004A452E">
        <w:trPr>
          <w:trHeight w:val="31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E45FED">
            <w:pPr>
              <w:spacing w:after="0"/>
              <w:rPr>
                <w:rFonts w:eastAsia="Times New Roman" w:cs="Times New Roman"/>
                <w:b/>
                <w:color w:val="000000"/>
              </w:rPr>
            </w:pPr>
            <w:r w:rsidRPr="005E5116">
              <w:rPr>
                <w:rFonts w:eastAsia="Times New Roman" w:cs="Times New Roman"/>
                <w:b/>
                <w:color w:val="000000"/>
              </w:rPr>
              <w:t>Treatment Plan Participation</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80</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88.2</w:t>
            </w:r>
          </w:p>
        </w:tc>
        <w:tc>
          <w:tcPr>
            <w:tcW w:w="144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w:t>
            </w:r>
          </w:p>
        </w:tc>
        <w:tc>
          <w:tcPr>
            <w:tcW w:w="135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E45FED">
            <w:pPr>
              <w:spacing w:after="0"/>
              <w:jc w:val="center"/>
              <w:rPr>
                <w:rFonts w:eastAsia="Times New Roman" w:cs="Times New Roman"/>
                <w:color w:val="000000"/>
              </w:rPr>
            </w:pPr>
            <w:r w:rsidRPr="005E5116">
              <w:rPr>
                <w:rFonts w:eastAsia="Times New Roman" w:cs="Times New Roman"/>
                <w:color w:val="000000"/>
              </w:rPr>
              <w:t>92.2</w:t>
            </w:r>
          </w:p>
        </w:tc>
      </w:tr>
    </w:tbl>
    <w:p w:rsidR="004A452E" w:rsidRDefault="004A452E" w:rsidP="004A452E"/>
    <w:p w:rsidR="004A452E" w:rsidRDefault="004A452E" w:rsidP="00860CD4">
      <w:pPr>
        <w:spacing w:after="0"/>
      </w:pPr>
      <w:r w:rsidRPr="005E5116">
        <w:lastRenderedPageBreak/>
        <w:t xml:space="preserve">Table 2 displays the percentage of positive responses across time only for individuals completing the survey at the initial pre-transition point in time </w:t>
      </w:r>
      <w:r w:rsidRPr="005E5116">
        <w:rPr>
          <w:u w:val="single"/>
        </w:rPr>
        <w:t>and</w:t>
      </w:r>
      <w:r w:rsidRPr="005E5116">
        <w:t xml:space="preserve"> at 6 months post-transition.   </w:t>
      </w:r>
    </w:p>
    <w:p w:rsidR="00860CD4" w:rsidRDefault="00860CD4" w:rsidP="00860CD4">
      <w:pPr>
        <w:spacing w:after="0"/>
      </w:pPr>
    </w:p>
    <w:p w:rsidR="004A452E" w:rsidRPr="005E5116" w:rsidRDefault="004A452E" w:rsidP="00860CD4">
      <w:pPr>
        <w:spacing w:after="0"/>
        <w:jc w:val="center"/>
        <w:rPr>
          <w:b/>
        </w:rPr>
      </w:pPr>
      <w:r w:rsidRPr="005E5116">
        <w:rPr>
          <w:b/>
        </w:rPr>
        <w:t>Table 2</w:t>
      </w:r>
    </w:p>
    <w:p w:rsidR="004A452E" w:rsidRPr="005E5116" w:rsidRDefault="004A452E" w:rsidP="00860CD4">
      <w:pPr>
        <w:spacing w:after="0"/>
        <w:jc w:val="center"/>
        <w:rPr>
          <w:b/>
        </w:rPr>
      </w:pPr>
      <w:r w:rsidRPr="005E5116">
        <w:rPr>
          <w:b/>
        </w:rPr>
        <w:t>Percentage of Positive Class Member Responses By Evaluation Domain Across Time</w:t>
      </w:r>
    </w:p>
    <w:p w:rsidR="004A452E" w:rsidRPr="005E5116" w:rsidRDefault="004A452E" w:rsidP="00860CD4">
      <w:pPr>
        <w:spacing w:after="0"/>
        <w:jc w:val="center"/>
        <w:rPr>
          <w:b/>
        </w:rPr>
      </w:pPr>
      <w:r w:rsidRPr="005E5116">
        <w:rPr>
          <w:b/>
        </w:rPr>
        <w:t xml:space="preserve">Ratings Made by the Same Cohort Pre-IMD Transition and Post IMD </w:t>
      </w:r>
    </w:p>
    <w:p w:rsidR="004A452E" w:rsidRPr="005E5116" w:rsidRDefault="004A452E" w:rsidP="00860CD4">
      <w:pPr>
        <w:spacing w:after="0"/>
        <w:jc w:val="center"/>
        <w:rPr>
          <w:b/>
        </w:rPr>
      </w:pPr>
      <w:r w:rsidRPr="005E5116">
        <w:rPr>
          <w:b/>
        </w:rPr>
        <w:t>Transition at 6 Months (n=225)</w:t>
      </w:r>
    </w:p>
    <w:p w:rsidR="004A452E" w:rsidRDefault="004A452E" w:rsidP="00860CD4">
      <w:pPr>
        <w:autoSpaceDE w:val="0"/>
        <w:autoSpaceDN w:val="0"/>
        <w:adjustRightInd w:val="0"/>
        <w:spacing w:after="0"/>
        <w:rPr>
          <w:rFonts w:cs="Times New Roman"/>
          <w:bCs/>
        </w:rPr>
      </w:pPr>
    </w:p>
    <w:tbl>
      <w:tblPr>
        <w:tblpPr w:leftFromText="180" w:rightFromText="180" w:vertAnchor="page" w:horzAnchor="margin" w:tblpXSpec="center" w:tblpY="4051"/>
        <w:tblW w:w="6462" w:type="dxa"/>
        <w:tblLook w:val="04A0" w:firstRow="1" w:lastRow="0" w:firstColumn="1" w:lastColumn="0" w:noHBand="0" w:noVBand="1"/>
      </w:tblPr>
      <w:tblGrid>
        <w:gridCol w:w="3344"/>
        <w:gridCol w:w="1768"/>
        <w:gridCol w:w="1350"/>
      </w:tblGrid>
      <w:tr w:rsidR="006610F3" w:rsidRPr="005E5116" w:rsidTr="006610F3">
        <w:trPr>
          <w:trHeight w:val="310"/>
        </w:trPr>
        <w:tc>
          <w:tcPr>
            <w:tcW w:w="3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10F3" w:rsidRPr="005E5116" w:rsidRDefault="006610F3" w:rsidP="006610F3">
            <w:pPr>
              <w:spacing w:after="0"/>
              <w:rPr>
                <w:rFonts w:eastAsia="Times New Roman" w:cs="Times New Roman"/>
                <w:color w:val="000000"/>
              </w:rPr>
            </w:pP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Pre-Transition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6 Months</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Evaluation Domain</w:t>
            </w:r>
          </w:p>
        </w:tc>
        <w:tc>
          <w:tcPr>
            <w:tcW w:w="1768" w:type="dxa"/>
            <w:tcBorders>
              <w:top w:val="nil"/>
              <w:left w:val="nil"/>
              <w:bottom w:val="single" w:sz="4" w:space="0" w:color="auto"/>
              <w:right w:val="single" w:sz="4" w:space="0" w:color="auto"/>
            </w:tcBorders>
            <w:shd w:val="clear" w:color="auto" w:fill="D9D9D9" w:themeFill="background1" w:themeFillShade="D9"/>
            <w:noWrap/>
            <w:vAlign w:val="bottom"/>
          </w:tcPr>
          <w:p w:rsidR="006610F3" w:rsidRPr="005E5116" w:rsidRDefault="006610F3" w:rsidP="006610F3">
            <w:pPr>
              <w:spacing w:after="0"/>
              <w:jc w:val="center"/>
              <w:rPr>
                <w:rFonts w:eastAsia="Times New Roman" w:cs="Times New Roman"/>
                <w:color w:val="000000"/>
              </w:rPr>
            </w:pPr>
          </w:p>
        </w:tc>
        <w:tc>
          <w:tcPr>
            <w:tcW w:w="1350" w:type="dxa"/>
            <w:tcBorders>
              <w:top w:val="nil"/>
              <w:left w:val="nil"/>
              <w:bottom w:val="single" w:sz="4" w:space="0" w:color="auto"/>
              <w:right w:val="single" w:sz="4" w:space="0" w:color="auto"/>
            </w:tcBorders>
            <w:shd w:val="clear" w:color="auto" w:fill="D9D9D9" w:themeFill="background1" w:themeFillShade="D9"/>
            <w:noWrap/>
            <w:vAlign w:val="bottom"/>
          </w:tcPr>
          <w:p w:rsidR="006610F3" w:rsidRPr="005E5116" w:rsidRDefault="006610F3" w:rsidP="006610F3">
            <w:pPr>
              <w:spacing w:after="0"/>
              <w:jc w:val="center"/>
              <w:rPr>
                <w:rFonts w:eastAsia="Times New Roman" w:cs="Times New Roman"/>
                <w:color w:val="000000"/>
              </w:rPr>
            </w:pP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Access</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78.1</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92.4</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Quality</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79.9</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93.3</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Outcome</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93.8</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93.8</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Satisfaction</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66.8</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91.1</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Social Connectedness</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91.9</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94.2</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Functioning</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93.1</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97.3</w:t>
            </w:r>
          </w:p>
        </w:tc>
      </w:tr>
      <w:tr w:rsidR="006610F3" w:rsidRPr="005E5116" w:rsidTr="006610F3">
        <w:trPr>
          <w:trHeight w:val="310"/>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rsidR="006610F3" w:rsidRPr="005E5116" w:rsidRDefault="006610F3" w:rsidP="006610F3">
            <w:pPr>
              <w:spacing w:after="0"/>
              <w:rPr>
                <w:rFonts w:eastAsia="Times New Roman" w:cs="Times New Roman"/>
                <w:b/>
                <w:color w:val="000000"/>
              </w:rPr>
            </w:pPr>
            <w:r w:rsidRPr="005E5116">
              <w:rPr>
                <w:rFonts w:eastAsia="Times New Roman" w:cs="Times New Roman"/>
                <w:b/>
                <w:color w:val="000000"/>
              </w:rPr>
              <w:t>Treatment  Plan Participation</w:t>
            </w:r>
          </w:p>
        </w:tc>
        <w:tc>
          <w:tcPr>
            <w:tcW w:w="1768"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83.8</w:t>
            </w:r>
          </w:p>
        </w:tc>
        <w:tc>
          <w:tcPr>
            <w:tcW w:w="1350" w:type="dxa"/>
            <w:tcBorders>
              <w:top w:val="nil"/>
              <w:left w:val="nil"/>
              <w:bottom w:val="single" w:sz="4" w:space="0" w:color="auto"/>
              <w:right w:val="single" w:sz="4" w:space="0" w:color="auto"/>
            </w:tcBorders>
            <w:shd w:val="clear" w:color="auto" w:fill="auto"/>
            <w:noWrap/>
            <w:vAlign w:val="bottom"/>
            <w:hideMark/>
          </w:tcPr>
          <w:p w:rsidR="006610F3" w:rsidRPr="005E5116" w:rsidRDefault="006610F3" w:rsidP="006610F3">
            <w:pPr>
              <w:spacing w:after="0"/>
              <w:jc w:val="center"/>
              <w:rPr>
                <w:rFonts w:eastAsia="Times New Roman" w:cs="Times New Roman"/>
                <w:color w:val="000000"/>
              </w:rPr>
            </w:pPr>
            <w:r w:rsidRPr="005E5116">
              <w:rPr>
                <w:rFonts w:eastAsia="Times New Roman" w:cs="Times New Roman"/>
                <w:color w:val="000000"/>
              </w:rPr>
              <w:t>89.7</w:t>
            </w:r>
          </w:p>
        </w:tc>
      </w:tr>
    </w:tbl>
    <w:p w:rsidR="00860CD4" w:rsidRDefault="00860CD4" w:rsidP="00860CD4"/>
    <w:p w:rsidR="00860CD4" w:rsidRDefault="00860CD4" w:rsidP="00860CD4"/>
    <w:p w:rsidR="00860CD4" w:rsidRDefault="00860CD4" w:rsidP="00860CD4"/>
    <w:p w:rsidR="00860CD4" w:rsidRDefault="00860CD4" w:rsidP="00860CD4"/>
    <w:p w:rsidR="00860CD4" w:rsidRDefault="00860CD4" w:rsidP="00860CD4"/>
    <w:p w:rsidR="00860CD4" w:rsidRDefault="00860CD4" w:rsidP="00860CD4"/>
    <w:p w:rsidR="00860CD4" w:rsidRDefault="00860CD4" w:rsidP="00860CD4"/>
    <w:p w:rsidR="00860CD4" w:rsidRDefault="00860CD4" w:rsidP="00860CD4"/>
    <w:p w:rsidR="004A452E" w:rsidRPr="00860CD4" w:rsidRDefault="004A452E" w:rsidP="00860CD4">
      <w:pPr>
        <w:rPr>
          <w:rFonts w:cs="Times New Roman"/>
          <w:bCs/>
        </w:rPr>
      </w:pPr>
      <w:r w:rsidRPr="005E5116">
        <w:t>This “matched” survey cohort exhibits a very similar pattern as that noted above.  The most positive change was noted on the following evaluation domains: satisfaction, access to care, quality of care followed by participation in treatment planning.  A small degree of positive change was noted for functioning and social connectedness, with evaluation of treatment outcome remaining the same across time.</w:t>
      </w:r>
    </w:p>
    <w:p w:rsidR="004A452E" w:rsidRPr="005E5116" w:rsidRDefault="004A452E" w:rsidP="00860CD4">
      <w:pPr>
        <w:spacing w:after="0"/>
      </w:pPr>
    </w:p>
    <w:p w:rsidR="004A452E" w:rsidRDefault="004A452E" w:rsidP="00860CD4">
      <w:pPr>
        <w:spacing w:after="0"/>
      </w:pPr>
      <w:r w:rsidRPr="005E5116">
        <w:t xml:space="preserve">Table 3 displays the percentage of positive responses across time only for individuals completing the survey at the initial pre-transition point in time </w:t>
      </w:r>
      <w:r w:rsidRPr="005E5116">
        <w:rPr>
          <w:u w:val="single"/>
        </w:rPr>
        <w:t>and</w:t>
      </w:r>
      <w:r w:rsidRPr="005E5116">
        <w:t xml:space="preserve"> at 12 months post-transition.   </w:t>
      </w:r>
    </w:p>
    <w:p w:rsidR="00860CD4" w:rsidRPr="005E5116" w:rsidRDefault="00860CD4" w:rsidP="00860CD4">
      <w:pPr>
        <w:spacing w:after="0"/>
        <w:ind w:firstLine="720"/>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860CD4" w:rsidRDefault="00860CD4" w:rsidP="00860CD4">
      <w:pPr>
        <w:spacing w:after="0"/>
        <w:jc w:val="center"/>
        <w:rPr>
          <w:b/>
        </w:rPr>
      </w:pPr>
    </w:p>
    <w:p w:rsidR="006610F3" w:rsidRDefault="006610F3" w:rsidP="00860CD4">
      <w:pPr>
        <w:spacing w:after="0"/>
        <w:jc w:val="center"/>
        <w:rPr>
          <w:b/>
        </w:rPr>
      </w:pPr>
    </w:p>
    <w:p w:rsidR="006610F3" w:rsidRDefault="006610F3" w:rsidP="00860CD4">
      <w:pPr>
        <w:spacing w:after="0"/>
        <w:jc w:val="center"/>
        <w:rPr>
          <w:b/>
        </w:rPr>
      </w:pPr>
    </w:p>
    <w:p w:rsidR="006610F3" w:rsidRDefault="006610F3" w:rsidP="00860CD4">
      <w:pPr>
        <w:spacing w:after="0"/>
        <w:jc w:val="center"/>
        <w:rPr>
          <w:b/>
        </w:rPr>
      </w:pPr>
    </w:p>
    <w:p w:rsidR="006610F3" w:rsidRDefault="006610F3" w:rsidP="00860CD4">
      <w:pPr>
        <w:spacing w:after="0"/>
        <w:jc w:val="center"/>
        <w:rPr>
          <w:b/>
        </w:rPr>
      </w:pPr>
    </w:p>
    <w:p w:rsidR="006610F3" w:rsidRDefault="006610F3" w:rsidP="00860CD4">
      <w:pPr>
        <w:spacing w:after="0"/>
        <w:jc w:val="center"/>
        <w:rPr>
          <w:b/>
        </w:rPr>
      </w:pPr>
    </w:p>
    <w:p w:rsidR="00860CD4" w:rsidRDefault="00860CD4" w:rsidP="00860CD4">
      <w:pPr>
        <w:spacing w:after="0"/>
        <w:jc w:val="center"/>
        <w:rPr>
          <w:b/>
        </w:rPr>
      </w:pPr>
    </w:p>
    <w:p w:rsidR="004A452E" w:rsidRPr="005E5116" w:rsidRDefault="004A452E" w:rsidP="00860CD4">
      <w:pPr>
        <w:spacing w:after="0"/>
        <w:jc w:val="center"/>
        <w:rPr>
          <w:b/>
        </w:rPr>
      </w:pPr>
      <w:r w:rsidRPr="005E5116">
        <w:rPr>
          <w:b/>
        </w:rPr>
        <w:lastRenderedPageBreak/>
        <w:t>Table 3</w:t>
      </w:r>
    </w:p>
    <w:p w:rsidR="004A452E" w:rsidRPr="005E5116" w:rsidRDefault="004A452E" w:rsidP="00860CD4">
      <w:pPr>
        <w:spacing w:after="0"/>
        <w:jc w:val="center"/>
        <w:rPr>
          <w:b/>
        </w:rPr>
      </w:pPr>
      <w:r w:rsidRPr="005E5116">
        <w:rPr>
          <w:b/>
        </w:rPr>
        <w:t>Percentage of Positive Class Member Responses By Evaluation Domain Across Time</w:t>
      </w:r>
    </w:p>
    <w:p w:rsidR="004A452E" w:rsidRPr="005E5116" w:rsidRDefault="004A452E" w:rsidP="00860CD4">
      <w:pPr>
        <w:spacing w:after="0"/>
        <w:jc w:val="center"/>
        <w:rPr>
          <w:b/>
        </w:rPr>
      </w:pPr>
      <w:r w:rsidRPr="005E5116">
        <w:rPr>
          <w:b/>
        </w:rPr>
        <w:t xml:space="preserve">Ratings Made by the Same Cohort Pre-IMD Transition and Post IMD </w:t>
      </w:r>
    </w:p>
    <w:p w:rsidR="004A452E" w:rsidRPr="005E5116" w:rsidRDefault="004A452E" w:rsidP="00860CD4">
      <w:pPr>
        <w:spacing w:after="0"/>
        <w:jc w:val="center"/>
      </w:pPr>
      <w:r w:rsidRPr="005E5116">
        <w:rPr>
          <w:b/>
        </w:rPr>
        <w:t>Transition at 12 Months (n=151)</w:t>
      </w:r>
    </w:p>
    <w:p w:rsidR="004A452E" w:rsidRDefault="004A452E" w:rsidP="008D0438">
      <w:pPr>
        <w:spacing w:after="0"/>
      </w:pPr>
    </w:p>
    <w:p w:rsidR="00D82360" w:rsidRDefault="00D82360" w:rsidP="008D0438">
      <w:pPr>
        <w:spacing w:after="0"/>
      </w:pPr>
    </w:p>
    <w:tbl>
      <w:tblPr>
        <w:tblpPr w:leftFromText="180" w:rightFromText="180" w:vertAnchor="page" w:horzAnchor="margin" w:tblpXSpec="center" w:tblpY="3451"/>
        <w:tblW w:w="6430" w:type="dxa"/>
        <w:tblLook w:val="04A0" w:firstRow="1" w:lastRow="0" w:firstColumn="1" w:lastColumn="0" w:noHBand="0" w:noVBand="1"/>
      </w:tblPr>
      <w:tblGrid>
        <w:gridCol w:w="3177"/>
        <w:gridCol w:w="1697"/>
        <w:gridCol w:w="1556"/>
      </w:tblGrid>
      <w:tr w:rsidR="00860CD4" w:rsidRPr="005E5116" w:rsidTr="008D0438">
        <w:trPr>
          <w:trHeight w:val="278"/>
        </w:trPr>
        <w:tc>
          <w:tcPr>
            <w:tcW w:w="3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0CD4" w:rsidRPr="005E5116" w:rsidRDefault="00860CD4" w:rsidP="008D0438">
            <w:pPr>
              <w:spacing w:after="0"/>
              <w:rPr>
                <w:rFonts w:eastAsia="Times New Roman" w:cs="Times New Roman"/>
                <w:color w:val="000000"/>
              </w:rPr>
            </w:pP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Pre-Transition</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 xml:space="preserve"> 12 Months</w:t>
            </w:r>
          </w:p>
        </w:tc>
      </w:tr>
      <w:tr w:rsidR="00860CD4" w:rsidRPr="005E5116" w:rsidTr="008D0438">
        <w:trPr>
          <w:trHeight w:val="278"/>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Evaluation Domain</w:t>
            </w:r>
          </w:p>
        </w:tc>
        <w:tc>
          <w:tcPr>
            <w:tcW w:w="169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60CD4" w:rsidRPr="005E5116" w:rsidRDefault="00860CD4" w:rsidP="008D0438">
            <w:pPr>
              <w:spacing w:after="0"/>
              <w:rPr>
                <w:rFonts w:eastAsia="Times New Roman" w:cs="Times New Roman"/>
                <w:b/>
                <w:color w:val="000000"/>
              </w:rPr>
            </w:pP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60CD4" w:rsidRPr="005E5116" w:rsidRDefault="00860CD4" w:rsidP="008D0438">
            <w:pPr>
              <w:spacing w:after="0"/>
              <w:rPr>
                <w:rFonts w:eastAsia="Times New Roman" w:cs="Times New Roman"/>
                <w:b/>
                <w:color w:val="000000"/>
              </w:rPr>
            </w:pP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Access</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73.5</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94.5</w:t>
            </w: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Quality</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80.8</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96.6</w:t>
            </w: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Outcome</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92.7</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93.2</w:t>
            </w: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Satisfaction</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63.5</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93.8</w:t>
            </w: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Social Connectedness</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91.9</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91.9</w:t>
            </w: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Functioning</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95.2</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96.6</w:t>
            </w:r>
          </w:p>
        </w:tc>
      </w:tr>
      <w:tr w:rsidR="00860CD4" w:rsidRPr="005E5116" w:rsidTr="008D0438">
        <w:trPr>
          <w:trHeight w:val="27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rsidR="00860CD4" w:rsidRPr="005E5116" w:rsidRDefault="00860CD4" w:rsidP="008D0438">
            <w:pPr>
              <w:spacing w:after="0"/>
              <w:rPr>
                <w:rFonts w:eastAsia="Times New Roman" w:cs="Times New Roman"/>
                <w:b/>
                <w:color w:val="000000"/>
              </w:rPr>
            </w:pPr>
            <w:r w:rsidRPr="005E5116">
              <w:rPr>
                <w:rFonts w:eastAsia="Times New Roman" w:cs="Times New Roman"/>
                <w:b/>
                <w:color w:val="000000"/>
              </w:rPr>
              <w:t>Treatment Plan Participation</w:t>
            </w:r>
          </w:p>
        </w:tc>
        <w:tc>
          <w:tcPr>
            <w:tcW w:w="1697"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82.4</w:t>
            </w:r>
          </w:p>
        </w:tc>
        <w:tc>
          <w:tcPr>
            <w:tcW w:w="1556" w:type="dxa"/>
            <w:tcBorders>
              <w:top w:val="nil"/>
              <w:left w:val="nil"/>
              <w:bottom w:val="single" w:sz="4" w:space="0" w:color="auto"/>
              <w:right w:val="single" w:sz="4" w:space="0" w:color="auto"/>
            </w:tcBorders>
            <w:shd w:val="clear" w:color="auto" w:fill="auto"/>
            <w:noWrap/>
            <w:vAlign w:val="bottom"/>
            <w:hideMark/>
          </w:tcPr>
          <w:p w:rsidR="00860CD4" w:rsidRPr="005E5116" w:rsidRDefault="00860CD4" w:rsidP="008D0438">
            <w:pPr>
              <w:spacing w:after="0"/>
              <w:jc w:val="center"/>
              <w:rPr>
                <w:rFonts w:eastAsia="Times New Roman" w:cs="Times New Roman"/>
                <w:color w:val="000000"/>
              </w:rPr>
            </w:pPr>
            <w:r w:rsidRPr="005E5116">
              <w:rPr>
                <w:rFonts w:eastAsia="Times New Roman" w:cs="Times New Roman"/>
                <w:color w:val="000000"/>
              </w:rPr>
              <w:t>96.6</w:t>
            </w:r>
          </w:p>
        </w:tc>
      </w:tr>
    </w:tbl>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pPr>
    </w:p>
    <w:p w:rsidR="004A452E" w:rsidRDefault="004A452E" w:rsidP="00D56266">
      <w:pPr>
        <w:spacing w:after="0"/>
        <w:rPr>
          <w:b/>
          <w:u w:val="single"/>
        </w:rPr>
      </w:pPr>
    </w:p>
    <w:p w:rsidR="00860CD4" w:rsidRDefault="00860CD4" w:rsidP="00860CD4">
      <w:pPr>
        <w:spacing w:after="0"/>
      </w:pPr>
    </w:p>
    <w:p w:rsidR="004A452E" w:rsidRPr="005E5116" w:rsidRDefault="004A452E" w:rsidP="00860CD4">
      <w:pPr>
        <w:spacing w:after="0"/>
      </w:pPr>
      <w:r w:rsidRPr="005E5116">
        <w:t>This “matched” survey cohort exhibits a very similar pattern as that noted above.  Again, the most positive change was noted on the following evaluation domains: satisfaction, access to care, quality of care followed by participation in treatment planning.  A small degree of positive change was noted for functioning and evaluation of treatment outcome with social connectedness remaining the same across time.</w:t>
      </w:r>
    </w:p>
    <w:p w:rsidR="004A452E" w:rsidRPr="005E5116" w:rsidRDefault="004A452E" w:rsidP="00860CD4">
      <w:pPr>
        <w:spacing w:after="0"/>
      </w:pPr>
    </w:p>
    <w:p w:rsidR="004A452E" w:rsidRDefault="004A452E" w:rsidP="00860CD4">
      <w:pPr>
        <w:spacing w:after="0"/>
      </w:pPr>
      <w:r w:rsidRPr="005E5116">
        <w:t xml:space="preserve">Table 4 displays results for the fourth and final comparison: the percentage of positive responses across time only for individuals completing the survey at the initial pre-transition point in time </w:t>
      </w:r>
      <w:r w:rsidRPr="005E5116">
        <w:rPr>
          <w:u w:val="single"/>
        </w:rPr>
        <w:t>and</w:t>
      </w:r>
      <w:r w:rsidRPr="005E5116">
        <w:t xml:space="preserve"> at 18 months post-transition.   </w:t>
      </w:r>
    </w:p>
    <w:p w:rsidR="00860CD4" w:rsidRDefault="00860CD4" w:rsidP="00860CD4">
      <w:pPr>
        <w:spacing w:after="0"/>
      </w:pPr>
    </w:p>
    <w:p w:rsidR="00860CD4" w:rsidRDefault="00860CD4" w:rsidP="00860CD4">
      <w:pPr>
        <w:spacing w:after="0"/>
      </w:pPr>
    </w:p>
    <w:p w:rsidR="00860CD4" w:rsidRDefault="00860CD4" w:rsidP="00860CD4">
      <w:pPr>
        <w:spacing w:after="0"/>
      </w:pPr>
    </w:p>
    <w:p w:rsidR="00860CD4" w:rsidRDefault="00860CD4" w:rsidP="00860CD4">
      <w:pPr>
        <w:spacing w:after="0"/>
      </w:pPr>
    </w:p>
    <w:p w:rsidR="00860CD4" w:rsidRDefault="00860CD4" w:rsidP="00860CD4">
      <w:pPr>
        <w:spacing w:after="0"/>
      </w:pPr>
    </w:p>
    <w:p w:rsidR="00860CD4" w:rsidRDefault="00860CD4" w:rsidP="00860CD4">
      <w:pPr>
        <w:spacing w:after="0"/>
      </w:pPr>
    </w:p>
    <w:p w:rsidR="00860CD4" w:rsidRPr="005E5116" w:rsidRDefault="00860CD4" w:rsidP="00860CD4">
      <w:pPr>
        <w:spacing w:after="0"/>
      </w:pPr>
    </w:p>
    <w:p w:rsidR="004A452E" w:rsidRDefault="004A452E" w:rsidP="00D56266">
      <w:pPr>
        <w:spacing w:after="0"/>
        <w:rPr>
          <w:b/>
          <w:u w:val="single"/>
        </w:rPr>
      </w:pPr>
    </w:p>
    <w:p w:rsidR="004A452E" w:rsidRPr="005E5116" w:rsidRDefault="004A452E" w:rsidP="004A452E"/>
    <w:p w:rsidR="006610F3" w:rsidRDefault="006610F3" w:rsidP="00860CD4">
      <w:pPr>
        <w:spacing w:after="0"/>
        <w:jc w:val="center"/>
        <w:rPr>
          <w:b/>
        </w:rPr>
      </w:pPr>
    </w:p>
    <w:p w:rsidR="006610F3" w:rsidRDefault="006610F3" w:rsidP="00860CD4">
      <w:pPr>
        <w:spacing w:after="0"/>
        <w:jc w:val="center"/>
        <w:rPr>
          <w:b/>
        </w:rPr>
      </w:pPr>
    </w:p>
    <w:p w:rsidR="006610F3" w:rsidRDefault="006610F3" w:rsidP="00860CD4">
      <w:pPr>
        <w:spacing w:after="0"/>
        <w:jc w:val="center"/>
        <w:rPr>
          <w:b/>
        </w:rPr>
      </w:pPr>
    </w:p>
    <w:p w:rsidR="006610F3" w:rsidRDefault="006610F3" w:rsidP="00860CD4">
      <w:pPr>
        <w:spacing w:after="0"/>
        <w:jc w:val="center"/>
        <w:rPr>
          <w:b/>
        </w:rPr>
      </w:pPr>
    </w:p>
    <w:p w:rsidR="004A452E" w:rsidRPr="005E5116" w:rsidRDefault="004A452E" w:rsidP="00860CD4">
      <w:pPr>
        <w:spacing w:after="0"/>
        <w:jc w:val="center"/>
        <w:rPr>
          <w:b/>
        </w:rPr>
      </w:pPr>
      <w:r w:rsidRPr="005E5116">
        <w:rPr>
          <w:b/>
        </w:rPr>
        <w:lastRenderedPageBreak/>
        <w:t>Table 4</w:t>
      </w:r>
    </w:p>
    <w:p w:rsidR="004A452E" w:rsidRPr="005E5116" w:rsidRDefault="004A452E" w:rsidP="00860CD4">
      <w:pPr>
        <w:spacing w:after="0"/>
        <w:jc w:val="center"/>
        <w:rPr>
          <w:b/>
        </w:rPr>
      </w:pPr>
      <w:r w:rsidRPr="005E5116">
        <w:rPr>
          <w:b/>
        </w:rPr>
        <w:t>Percentage of Positive Class Member Responses By Evaluation Domain Across Time</w:t>
      </w:r>
    </w:p>
    <w:p w:rsidR="004A452E" w:rsidRPr="005E5116" w:rsidRDefault="004A452E" w:rsidP="00860CD4">
      <w:pPr>
        <w:spacing w:after="0"/>
        <w:jc w:val="center"/>
        <w:rPr>
          <w:b/>
        </w:rPr>
      </w:pPr>
      <w:r w:rsidRPr="005E5116">
        <w:rPr>
          <w:b/>
        </w:rPr>
        <w:t xml:space="preserve">Ratings Made by the Same Cohort Pre-IMD Transition and Post IMD </w:t>
      </w:r>
    </w:p>
    <w:p w:rsidR="004A452E" w:rsidRPr="005E5116" w:rsidRDefault="004A452E" w:rsidP="00860CD4">
      <w:pPr>
        <w:spacing w:after="0"/>
        <w:jc w:val="center"/>
      </w:pPr>
      <w:r w:rsidRPr="005E5116">
        <w:rPr>
          <w:b/>
        </w:rPr>
        <w:t>Transition at 18 Months (n=98)</w:t>
      </w:r>
    </w:p>
    <w:p w:rsidR="004A452E" w:rsidRPr="005E5116" w:rsidRDefault="004A452E" w:rsidP="004A452E"/>
    <w:tbl>
      <w:tblPr>
        <w:tblW w:w="6877" w:type="dxa"/>
        <w:tblInd w:w="1548" w:type="dxa"/>
        <w:tblLook w:val="04A0" w:firstRow="1" w:lastRow="0" w:firstColumn="1" w:lastColumn="0" w:noHBand="0" w:noVBand="1"/>
      </w:tblPr>
      <w:tblGrid>
        <w:gridCol w:w="3510"/>
        <w:gridCol w:w="1800"/>
        <w:gridCol w:w="1567"/>
      </w:tblGrid>
      <w:tr w:rsidR="004A452E" w:rsidRPr="005E5116" w:rsidTr="004A452E">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A452E" w:rsidRPr="005E5116" w:rsidRDefault="004A452E" w:rsidP="008D0438">
            <w:pPr>
              <w:spacing w:after="0"/>
              <w:rPr>
                <w:rFonts w:eastAsia="Times New Roman" w:cs="Times New Roman"/>
                <w:color w:val="000000"/>
              </w:rPr>
            </w:pP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Pre-Transition</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18 Months</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Evaluation Domain</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tcPr>
          <w:p w:rsidR="004A452E" w:rsidRPr="005E5116" w:rsidRDefault="004A452E" w:rsidP="008D0438">
            <w:pPr>
              <w:spacing w:after="0"/>
              <w:jc w:val="center"/>
              <w:rPr>
                <w:rFonts w:eastAsia="Times New Roman" w:cs="Times New Roman"/>
                <w:color w:val="000000"/>
              </w:rPr>
            </w:pPr>
          </w:p>
        </w:tc>
        <w:tc>
          <w:tcPr>
            <w:tcW w:w="1567" w:type="dxa"/>
            <w:tcBorders>
              <w:top w:val="nil"/>
              <w:left w:val="nil"/>
              <w:bottom w:val="single" w:sz="4" w:space="0" w:color="auto"/>
              <w:right w:val="single" w:sz="4" w:space="0" w:color="auto"/>
            </w:tcBorders>
            <w:shd w:val="clear" w:color="auto" w:fill="D9D9D9" w:themeFill="background1" w:themeFillShade="D9"/>
            <w:noWrap/>
            <w:vAlign w:val="bottom"/>
          </w:tcPr>
          <w:p w:rsidR="004A452E" w:rsidRPr="005E5116" w:rsidRDefault="004A452E" w:rsidP="008D0438">
            <w:pPr>
              <w:spacing w:after="0"/>
              <w:jc w:val="center"/>
              <w:rPr>
                <w:rFonts w:eastAsia="Times New Roman" w:cs="Times New Roman"/>
                <w:color w:val="000000"/>
              </w:rPr>
            </w:pP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Access</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75.5</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96.9</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Quality</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82.7</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97.9</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Outcome</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92.9</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91.7</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Satisfaction</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68.8</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92.8</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Social Connectedness</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92.9</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93.8</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Functioning</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97.9</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97.9</w:t>
            </w:r>
          </w:p>
        </w:tc>
      </w:tr>
      <w:tr w:rsidR="004A452E" w:rsidRPr="005E5116" w:rsidTr="004A452E">
        <w:trPr>
          <w:trHeight w:val="31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4A452E" w:rsidRPr="005E5116" w:rsidRDefault="004A452E" w:rsidP="008D0438">
            <w:pPr>
              <w:spacing w:after="0"/>
              <w:rPr>
                <w:rFonts w:eastAsia="Times New Roman" w:cs="Times New Roman"/>
                <w:b/>
                <w:color w:val="000000"/>
              </w:rPr>
            </w:pPr>
            <w:r w:rsidRPr="005E5116">
              <w:rPr>
                <w:rFonts w:eastAsia="Times New Roman" w:cs="Times New Roman"/>
                <w:b/>
                <w:color w:val="000000"/>
              </w:rPr>
              <w:t>Treatment Plan Participation</w:t>
            </w:r>
          </w:p>
        </w:tc>
        <w:tc>
          <w:tcPr>
            <w:tcW w:w="1800"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85.4</w:t>
            </w:r>
          </w:p>
        </w:tc>
        <w:tc>
          <w:tcPr>
            <w:tcW w:w="1567" w:type="dxa"/>
            <w:tcBorders>
              <w:top w:val="nil"/>
              <w:left w:val="nil"/>
              <w:bottom w:val="single" w:sz="4" w:space="0" w:color="auto"/>
              <w:right w:val="single" w:sz="4" w:space="0" w:color="auto"/>
            </w:tcBorders>
            <w:shd w:val="clear" w:color="auto" w:fill="auto"/>
            <w:noWrap/>
            <w:vAlign w:val="bottom"/>
            <w:hideMark/>
          </w:tcPr>
          <w:p w:rsidR="004A452E" w:rsidRPr="005E5116" w:rsidRDefault="004A452E" w:rsidP="008D0438">
            <w:pPr>
              <w:spacing w:after="0"/>
              <w:jc w:val="center"/>
              <w:rPr>
                <w:rFonts w:eastAsia="Times New Roman" w:cs="Times New Roman"/>
                <w:color w:val="000000"/>
              </w:rPr>
            </w:pPr>
            <w:r w:rsidRPr="005E5116">
              <w:rPr>
                <w:rFonts w:eastAsia="Times New Roman" w:cs="Times New Roman"/>
                <w:color w:val="000000"/>
              </w:rPr>
              <w:t>96.9</w:t>
            </w:r>
          </w:p>
        </w:tc>
      </w:tr>
    </w:tbl>
    <w:p w:rsidR="004A452E" w:rsidRPr="005E5116" w:rsidRDefault="004A452E" w:rsidP="004A452E"/>
    <w:p w:rsidR="004A452E" w:rsidRPr="005E5116" w:rsidRDefault="004A452E" w:rsidP="00860CD4">
      <w:pPr>
        <w:spacing w:after="0"/>
      </w:pPr>
      <w:r w:rsidRPr="005E5116">
        <w:t>Again, this “matched” survey cohort exhibits a very similar pattern as those described above:  The most positive change was noted on the following evaluation domains: satisfaction, access to care, quality of care followed by participation in treatment planning.  A small degree of positive change was noted for social connectedness; Class Members evaluation remained more or less the same across time and the evaluation of treatment outcomes showed a small decrease in positive responses.</w:t>
      </w:r>
    </w:p>
    <w:p w:rsidR="004A452E" w:rsidRPr="005E5116" w:rsidRDefault="004A452E" w:rsidP="00860CD4">
      <w:pPr>
        <w:spacing w:after="0"/>
      </w:pPr>
    </w:p>
    <w:p w:rsidR="004A452E" w:rsidRDefault="004A452E" w:rsidP="00860CD4">
      <w:pPr>
        <w:spacing w:after="0"/>
        <w:rPr>
          <w:b/>
        </w:rPr>
      </w:pPr>
      <w:r w:rsidRPr="005E5116">
        <w:rPr>
          <w:b/>
        </w:rPr>
        <w:t>Summary</w:t>
      </w:r>
    </w:p>
    <w:p w:rsidR="00860CD4" w:rsidRPr="005E5116" w:rsidRDefault="00860CD4" w:rsidP="00860CD4">
      <w:pPr>
        <w:spacing w:after="0"/>
        <w:rPr>
          <w:b/>
        </w:rPr>
      </w:pPr>
    </w:p>
    <w:p w:rsidR="004A452E" w:rsidRPr="005E5116" w:rsidRDefault="004A452E" w:rsidP="00860CD4">
      <w:pPr>
        <w:spacing w:after="0"/>
      </w:pPr>
      <w:r w:rsidRPr="005E5116">
        <w:t>In summary, generally regardless of point in time post transition, or whether the same individuals completed survey at different points in time post transition, Class Members more often evaluated satisfaction with treatment, access to treatment, quality of treatment and their ability to participate in their own treatment planning more positively post IMD transition.  Class Members generally evaluated treatment outcomes and functioning positively, showing less change across time however.  Social Connectedness showed the least amount of change across time, and at times a minor decrease in positive responses.  The next report will provide a summary of Lehmann Quality of Life survey responses across time.</w:t>
      </w:r>
    </w:p>
    <w:p w:rsidR="004A452E" w:rsidRDefault="004A452E" w:rsidP="00D56266">
      <w:pPr>
        <w:spacing w:after="0"/>
        <w:rPr>
          <w:b/>
          <w:u w:val="single"/>
        </w:rPr>
      </w:pPr>
    </w:p>
    <w:p w:rsidR="00860CD4" w:rsidRDefault="00860CD4" w:rsidP="00D56266">
      <w:pPr>
        <w:spacing w:after="0"/>
        <w:rPr>
          <w:b/>
          <w:u w:val="single"/>
        </w:rPr>
      </w:pPr>
    </w:p>
    <w:p w:rsidR="00860CD4" w:rsidRDefault="00860CD4" w:rsidP="00D56266">
      <w:pPr>
        <w:spacing w:after="0"/>
        <w:rPr>
          <w:b/>
          <w:u w:val="single"/>
        </w:rPr>
      </w:pPr>
    </w:p>
    <w:p w:rsidR="00BF752F" w:rsidRDefault="00BF752F" w:rsidP="00D56266">
      <w:pPr>
        <w:spacing w:after="0"/>
        <w:rPr>
          <w:b/>
          <w:u w:val="single"/>
        </w:rPr>
      </w:pPr>
      <w:r w:rsidRPr="00C142B7">
        <w:rPr>
          <w:b/>
          <w:u w:val="single"/>
        </w:rPr>
        <w:t>Budget Incentive Program (BIP)/Proposed Service Expansion</w:t>
      </w:r>
    </w:p>
    <w:p w:rsidR="001E13E3" w:rsidRPr="00C142B7" w:rsidRDefault="001E13E3" w:rsidP="00D56266">
      <w:pPr>
        <w:spacing w:after="0"/>
        <w:rPr>
          <w:b/>
          <w:u w:val="single"/>
        </w:rPr>
      </w:pPr>
    </w:p>
    <w:p w:rsidR="00BF752F" w:rsidRDefault="00BF752F" w:rsidP="00D56266">
      <w:pPr>
        <w:spacing w:after="0"/>
      </w:pPr>
      <w:r w:rsidRPr="007C1791">
        <w:t>The federal Balancing Incentive Program (BIP), authorized by the Affordable Care Act, incentivizes transformation of state long-term care systems by encouraging states to shift from institutional to</w:t>
      </w:r>
      <w:r>
        <w:t xml:space="preserve"> community-based long-term services and supports (LTSS).  The purpose of the program is to improve access to non-institutional LTSS and encourage states to make structural reforms to their long-term care </w:t>
      </w:r>
      <w:r>
        <w:lastRenderedPageBreak/>
        <w:t>systems.  A total of $3 billion has been made available for distribution to states from October 1, 2012 to September 30, 2015.  States that spent less than 50 percent of their total Medicaid long-term care expenditures on non-institutional LTSS during 2009 qualify to receive an enhanced Federal Medical Assistance Percentage (FMAP).  Illinois qualified to earn an additional 2% FMAP from July 1, 2013 to September 30, 2015.</w:t>
      </w:r>
      <w:r w:rsidRPr="00FF746E">
        <w:t xml:space="preserve"> </w:t>
      </w:r>
      <w:r>
        <w:t>The end date was extended in April 2015 for one year for service expenditures with justification accepted by federal CMS.  Additional dollars were</w:t>
      </w:r>
      <w:r w:rsidR="00DA1DEE">
        <w:t xml:space="preserve"> </w:t>
      </w:r>
      <w:r>
        <w:t>n</w:t>
      </w:r>
      <w:r w:rsidR="00DA1DEE">
        <w:t>o</w:t>
      </w:r>
      <w:r>
        <w:t>t added just time allotted for spending the dollars already available.</w:t>
      </w:r>
    </w:p>
    <w:p w:rsidR="00BF752F" w:rsidRDefault="00BF752F" w:rsidP="00BF752F">
      <w:pPr>
        <w:spacing w:after="0"/>
      </w:pPr>
    </w:p>
    <w:p w:rsidR="00BF752F" w:rsidRDefault="00BF752F" w:rsidP="00BF752F">
      <w:pPr>
        <w:spacing w:after="0"/>
      </w:pPr>
      <w:r>
        <w:t>The federal government requires that BIP dollars be spent on new and/or expanded community-based services. The state has developed several new services using the BIP funds.  Each of these services was created in response to discussions with community providers regarding unmet service needs for Class Members.      Contracts for services have been executed with providers.  The status of the each of these services follows</w:t>
      </w:r>
      <w:r w:rsidR="00DA1DEE">
        <w:t>:</w:t>
      </w:r>
    </w:p>
    <w:p w:rsidR="00BF752F" w:rsidRDefault="00BF752F" w:rsidP="00BF752F">
      <w:pPr>
        <w:spacing w:after="0"/>
        <w:jc w:val="both"/>
      </w:pPr>
    </w:p>
    <w:p w:rsidR="00BF752F" w:rsidRDefault="00BF752F" w:rsidP="00BF752F">
      <w:pPr>
        <w:spacing w:after="0"/>
      </w:pPr>
      <w:r>
        <w:rPr>
          <w:b/>
        </w:rPr>
        <w:t>Peer Support Offered in Drop-In Centers:</w:t>
      </w:r>
      <w:r>
        <w:t xml:space="preserve">  This is an expansion of a very successful service developed as a result of the Williams Consent Decree Implementation.  With the addition of BIP funds, DHS/DMH has completed negotiations with two community agencies to open additional drop-in centers in early 2015.  These two centers will be located in the West Loop and Hyde Park communities.  There are plans to open four more drop-in centers in FY16.  </w:t>
      </w:r>
    </w:p>
    <w:p w:rsidR="00BF752F" w:rsidRDefault="00BF752F" w:rsidP="00BF752F">
      <w:pPr>
        <w:spacing w:after="0"/>
      </w:pPr>
    </w:p>
    <w:p w:rsidR="00BF752F" w:rsidRDefault="00BF752F" w:rsidP="00BF752F">
      <w:pPr>
        <w:spacing w:after="0"/>
      </w:pPr>
      <w:r>
        <w:rPr>
          <w:b/>
        </w:rPr>
        <w:t>In-Home Recovery Supports:</w:t>
      </w:r>
      <w:r>
        <w:t xml:space="preserve"> This service is an enhancement to the Assertive Community Treatment and Community Support Team services defined by Rule 132.  It is intended to provide intensive access to an individual with lived experience in recovery during the initial transition phase for individuals who require this additional level of support and reassurance during the transition from institutional care to community living.  DHS/DMH made funding for this service available in January, 2015, but to date, no providers have requested authorization to provide this service to any individuals.  DMH has discussed this with the providers and encouraged them to seek authorizations.</w:t>
      </w:r>
    </w:p>
    <w:p w:rsidR="00BF752F" w:rsidRDefault="00BF752F" w:rsidP="00BF752F">
      <w:pPr>
        <w:spacing w:after="0"/>
      </w:pPr>
    </w:p>
    <w:p w:rsidR="00BF752F" w:rsidRDefault="00BF752F" w:rsidP="00BF752F">
      <w:pPr>
        <w:spacing w:after="0"/>
        <w:rPr>
          <w:rFonts w:cs="Times New Roman"/>
        </w:rPr>
      </w:pPr>
      <w:r>
        <w:rPr>
          <w:b/>
        </w:rPr>
        <w:t>Enhanced Skills Training and Assistance:</w:t>
      </w:r>
      <w:r>
        <w:t xml:space="preserve"> This service is also an enhancement to the Assertive Community Treatment and Community Support Team services defined by Rule 132.  It allows </w:t>
      </w:r>
      <w:r>
        <w:rPr>
          <w:rFonts w:cs="Times New Roman"/>
        </w:rPr>
        <w:t>h</w:t>
      </w:r>
      <w:r w:rsidRPr="00F913C3">
        <w:rPr>
          <w:rFonts w:cs="Times New Roman"/>
        </w:rPr>
        <w:t>ands-on assistance and skill development for individuals requiring a habilitative level of intervention to acquire critical basic skills for safe and successful independent apartment living.</w:t>
      </w:r>
      <w:r>
        <w:rPr>
          <w:rFonts w:cs="Times New Roman"/>
        </w:rPr>
        <w:t xml:space="preserve">  The service must be provided by an occupational therapist or an occupational therapy assistant.  DHS/DMH made funding available for this service in January, 2015, but to date, no providers have requested authorization to provide this service to any individuals.  </w:t>
      </w:r>
      <w:r>
        <w:t>DMH has discussed this with the providers and encouraged them to seek authorizations.</w:t>
      </w:r>
    </w:p>
    <w:p w:rsidR="00BF752F" w:rsidRDefault="00BF752F" w:rsidP="00BF752F">
      <w:pPr>
        <w:spacing w:after="0"/>
        <w:jc w:val="both"/>
        <w:rPr>
          <w:rFonts w:cs="Times New Roman"/>
        </w:rPr>
      </w:pPr>
    </w:p>
    <w:p w:rsidR="00BF752F" w:rsidRDefault="00BF752F" w:rsidP="00BF752F">
      <w:pPr>
        <w:spacing w:after="0"/>
      </w:pPr>
      <w:r>
        <w:rPr>
          <w:rFonts w:cs="Times New Roman"/>
          <w:b/>
        </w:rPr>
        <w:t>Bidirectional Integrated Health Care for Complex Needs:</w:t>
      </w:r>
      <w:r>
        <w:rPr>
          <w:rFonts w:cs="Times New Roman"/>
        </w:rPr>
        <w:t xml:space="preserve">  This service will provide increased expertise and specialization of medical care for individuals with serious mental illnesses whose symptoms of mental illness complicate their ability to respond to medical care.  BIP monies will be used to provide training to selected agencies on best practices in the integration of primary and behavioral health care, and for these agencies to hire additional nursing staff to increase their capacity to integrate primary and </w:t>
      </w:r>
      <w:r>
        <w:rPr>
          <w:rFonts w:cs="Times New Roman"/>
        </w:rPr>
        <w:lastRenderedPageBreak/>
        <w:t xml:space="preserve">behavioral healthcare. </w:t>
      </w:r>
      <w:r>
        <w:t xml:space="preserve">A decision has been made to immediately contract with a select group of Williams provider agencies to fund an Advanced Practice Nurse position to support team services and elevate their interface with federally qualified health centers. </w:t>
      </w:r>
    </w:p>
    <w:p w:rsidR="00BF752F" w:rsidRDefault="00BF752F" w:rsidP="00BF752F">
      <w:pPr>
        <w:spacing w:after="0"/>
      </w:pPr>
      <w:r>
        <w:t xml:space="preserve"> </w:t>
      </w:r>
    </w:p>
    <w:p w:rsidR="00BF752F" w:rsidRDefault="00BF752F" w:rsidP="00BF752F">
      <w:pPr>
        <w:spacing w:after="0"/>
      </w:pPr>
      <w:r>
        <w:rPr>
          <w:rFonts w:cs="Times New Roman"/>
        </w:rPr>
        <w:t>In March, 2015, DHS/DMH brought Joan</w:t>
      </w:r>
      <w:r w:rsidRPr="00DD77D4">
        <w:rPr>
          <w:rFonts w:cs="Times New Roman"/>
        </w:rPr>
        <w:t xml:space="preserve"> Kenerson King, RN, MSN, CS</w:t>
      </w:r>
      <w:r>
        <w:rPr>
          <w:rFonts w:cs="Times New Roman"/>
        </w:rPr>
        <w:t xml:space="preserve"> </w:t>
      </w:r>
      <w:r w:rsidRPr="00DD77D4">
        <w:rPr>
          <w:rFonts w:cs="Times New Roman"/>
        </w:rPr>
        <w:t>Senior Integration Consultant</w:t>
      </w:r>
      <w:r>
        <w:rPr>
          <w:rFonts w:cs="Times New Roman"/>
        </w:rPr>
        <w:t xml:space="preserve"> with the </w:t>
      </w:r>
      <w:r w:rsidRPr="00DD77D4">
        <w:rPr>
          <w:rFonts w:cs="Times New Roman"/>
        </w:rPr>
        <w:t>National Council for Behavioral Health</w:t>
      </w:r>
      <w:r>
        <w:rPr>
          <w:rFonts w:cs="Times New Roman"/>
        </w:rPr>
        <w:t xml:space="preserve"> to Illinois to provide onsite training and consultation to six community providers</w:t>
      </w:r>
      <w:r w:rsidRPr="00D016BB">
        <w:rPr>
          <w:rFonts w:cs="Times New Roman"/>
        </w:rPr>
        <w:t xml:space="preserve"> </w:t>
      </w:r>
      <w:r>
        <w:rPr>
          <w:rFonts w:cs="Times New Roman"/>
        </w:rPr>
        <w:t xml:space="preserve">and </w:t>
      </w:r>
      <w:r w:rsidRPr="00D016BB">
        <w:t>to</w:t>
      </w:r>
      <w:r>
        <w:t xml:space="preserve"> lay a foundation for the design of in-home recovery supports.   </w:t>
      </w:r>
      <w:r>
        <w:rPr>
          <w:rFonts w:cs="Times New Roman"/>
        </w:rPr>
        <w:t>In addition, DHS/DMH has executed contracts with these six providers to support the hiring of Advance Practice Nurses to provide direct services to Class Members whose complex medical needs require this level of intervention.</w:t>
      </w:r>
    </w:p>
    <w:p w:rsidR="00784F6A" w:rsidRDefault="00784F6A" w:rsidP="00B902F5">
      <w:pPr>
        <w:spacing w:after="0"/>
        <w:rPr>
          <w:b/>
          <w:u w:val="single"/>
        </w:rPr>
      </w:pPr>
    </w:p>
    <w:p w:rsidR="00404F74" w:rsidRDefault="00404F74" w:rsidP="00B902F5">
      <w:pPr>
        <w:spacing w:after="0"/>
      </w:pPr>
      <w:r w:rsidRPr="00252C05">
        <w:rPr>
          <w:b/>
          <w:u w:val="single"/>
        </w:rPr>
        <w:t>Individual Placement and Support (</w:t>
      </w:r>
      <w:r>
        <w:rPr>
          <w:b/>
          <w:u w:val="single"/>
        </w:rPr>
        <w:t>IPS</w:t>
      </w:r>
      <w:r w:rsidRPr="00252C05">
        <w:rPr>
          <w:b/>
          <w:u w:val="single"/>
        </w:rPr>
        <w:t>)</w:t>
      </w:r>
      <w:r>
        <w:t xml:space="preserve">  </w:t>
      </w:r>
    </w:p>
    <w:p w:rsidR="00C04E27" w:rsidRPr="00404F74" w:rsidRDefault="00C04E27" w:rsidP="00B902F5">
      <w:pPr>
        <w:spacing w:after="0"/>
      </w:pPr>
    </w:p>
    <w:p w:rsidR="00404F74" w:rsidRPr="008406F3" w:rsidRDefault="00404F74" w:rsidP="00B902F5">
      <w:pPr>
        <w:spacing w:after="0"/>
      </w:pPr>
      <w:r w:rsidRPr="008406F3">
        <w:t xml:space="preserve">The evidence-based practice of IPS </w:t>
      </w:r>
      <w:r>
        <w:t>(supported</w:t>
      </w:r>
      <w:r w:rsidRPr="008406F3">
        <w:t xml:space="preserve"> employment) has been on the forefront as a service/resource to assure full and productive recovery for individuals diagnosed with serious mental illness.  There have been </w:t>
      </w:r>
      <w:r w:rsidRPr="009972EA">
        <w:t>260</w:t>
      </w:r>
      <w:r>
        <w:t xml:space="preserve"> </w:t>
      </w:r>
      <w:r w:rsidR="00944086">
        <w:t>Class Members</w:t>
      </w:r>
      <w:r w:rsidRPr="008406F3">
        <w:t xml:space="preserve"> enrolled in IPS since </w:t>
      </w:r>
      <w:r>
        <w:t>June 1, 2012</w:t>
      </w:r>
      <w:r w:rsidRPr="008406F3">
        <w:t xml:space="preserve">.  </w:t>
      </w:r>
      <w:r>
        <w:t xml:space="preserve">Currently there are </w:t>
      </w:r>
      <w:r w:rsidRPr="009972EA">
        <w:t>99</w:t>
      </w:r>
      <w:r>
        <w:t xml:space="preserve"> Williams enrollees in IPS. Eighty-six</w:t>
      </w:r>
      <w:r w:rsidRPr="008406F3">
        <w:t xml:space="preserve"> (</w:t>
      </w:r>
      <w:r w:rsidRPr="009972EA">
        <w:t>86</w:t>
      </w:r>
      <w:r w:rsidRPr="008406F3">
        <w:t xml:space="preserve">) </w:t>
      </w:r>
      <w:r w:rsidR="00944086">
        <w:t>Class Members</w:t>
      </w:r>
      <w:r w:rsidRPr="008406F3">
        <w:t xml:space="preserve"> or </w:t>
      </w:r>
      <w:r w:rsidRPr="009972EA">
        <w:t>33%</w:t>
      </w:r>
      <w:r w:rsidRPr="008406F3">
        <w:t xml:space="preserve">% </w:t>
      </w:r>
      <w:r>
        <w:t xml:space="preserve">of the Williams </w:t>
      </w:r>
      <w:r w:rsidR="00944086">
        <w:t>Class Members</w:t>
      </w:r>
      <w:r>
        <w:t xml:space="preserve"> who received IPS Supportive Employment have worked.</w:t>
      </w:r>
      <w:r w:rsidRPr="008406F3">
        <w:t xml:space="preserve">  </w:t>
      </w:r>
      <w:r>
        <w:t>Sixty-one (</w:t>
      </w:r>
      <w:r w:rsidRPr="009972EA">
        <w:t>61</w:t>
      </w:r>
      <w:r>
        <w:t>) of the 86 are still working.</w:t>
      </w:r>
      <w:r w:rsidRPr="008406F3">
        <w:t xml:space="preserve">  </w:t>
      </w:r>
    </w:p>
    <w:p w:rsidR="00404F74" w:rsidRDefault="00404F74" w:rsidP="00B902F5">
      <w:pPr>
        <w:spacing w:after="0"/>
      </w:pPr>
      <w:r w:rsidRPr="008406F3">
        <w:t xml:space="preserve">The table </w:t>
      </w:r>
      <w:r>
        <w:t xml:space="preserve">below </w:t>
      </w:r>
      <w:r w:rsidRPr="008406F3">
        <w:t xml:space="preserve">reflects the </w:t>
      </w:r>
      <w:r>
        <w:t xml:space="preserve">number of </w:t>
      </w:r>
      <w:r w:rsidRPr="008406F3">
        <w:t xml:space="preserve">months of job tenure </w:t>
      </w:r>
      <w:r>
        <w:t xml:space="preserve">for the 61 </w:t>
      </w:r>
      <w:r w:rsidR="00944086">
        <w:t>Class Members</w:t>
      </w:r>
      <w:r>
        <w:t xml:space="preserve"> who are currently working </w:t>
      </w:r>
      <w:r w:rsidRPr="008406F3">
        <w:t xml:space="preserve">in </w:t>
      </w:r>
      <w:r>
        <w:t xml:space="preserve">mainstream </w:t>
      </w:r>
      <w:r w:rsidRPr="008406F3">
        <w:t xml:space="preserve">competitive </w:t>
      </w:r>
      <w:r w:rsidRPr="007801F6">
        <w:t>work experiences:</w:t>
      </w:r>
    </w:p>
    <w:p w:rsidR="00C04E27" w:rsidRPr="007801F6" w:rsidRDefault="00C04E27" w:rsidP="00B902F5">
      <w:pPr>
        <w:spacing w:after="0"/>
      </w:pPr>
    </w:p>
    <w:tbl>
      <w:tblPr>
        <w:tblStyle w:val="TableGrid"/>
        <w:tblW w:w="0" w:type="auto"/>
        <w:tblInd w:w="108" w:type="dxa"/>
        <w:tblLook w:val="04A0" w:firstRow="1" w:lastRow="0" w:firstColumn="1" w:lastColumn="0" w:noHBand="0" w:noVBand="1"/>
      </w:tblPr>
      <w:tblGrid>
        <w:gridCol w:w="1488"/>
        <w:gridCol w:w="1596"/>
        <w:gridCol w:w="1596"/>
        <w:gridCol w:w="1596"/>
        <w:gridCol w:w="1596"/>
        <w:gridCol w:w="1596"/>
      </w:tblGrid>
      <w:tr w:rsidR="00404F74" w:rsidRPr="007801F6" w:rsidTr="00836D3E">
        <w:tc>
          <w:tcPr>
            <w:tcW w:w="1488" w:type="dxa"/>
          </w:tcPr>
          <w:p w:rsidR="00404F74" w:rsidRPr="007801F6" w:rsidRDefault="00404F74" w:rsidP="00836D3E">
            <w:pPr>
              <w:spacing w:line="276" w:lineRule="auto"/>
              <w:rPr>
                <w:color w:val="000000"/>
              </w:rPr>
            </w:pPr>
          </w:p>
        </w:tc>
        <w:tc>
          <w:tcPr>
            <w:tcW w:w="7980" w:type="dxa"/>
            <w:gridSpan w:val="5"/>
          </w:tcPr>
          <w:p w:rsidR="00404F74" w:rsidRPr="007801F6" w:rsidRDefault="00404F74" w:rsidP="00836D3E">
            <w:pPr>
              <w:spacing w:line="276" w:lineRule="auto"/>
              <w:jc w:val="center"/>
              <w:rPr>
                <w:color w:val="000000"/>
              </w:rPr>
            </w:pPr>
            <w:r w:rsidRPr="007801F6">
              <w:rPr>
                <w:color w:val="000000"/>
              </w:rPr>
              <w:t>Job Tenure</w:t>
            </w:r>
          </w:p>
        </w:tc>
      </w:tr>
      <w:tr w:rsidR="00404F74" w:rsidRPr="007801F6" w:rsidTr="00836D3E">
        <w:tc>
          <w:tcPr>
            <w:tcW w:w="1488" w:type="dxa"/>
          </w:tcPr>
          <w:p w:rsidR="00404F74" w:rsidRPr="007801F6" w:rsidRDefault="00404F74" w:rsidP="00836D3E">
            <w:pPr>
              <w:spacing w:line="276" w:lineRule="auto"/>
              <w:rPr>
                <w:color w:val="000000"/>
              </w:rPr>
            </w:pPr>
          </w:p>
        </w:tc>
        <w:tc>
          <w:tcPr>
            <w:tcW w:w="1596" w:type="dxa"/>
          </w:tcPr>
          <w:p w:rsidR="00404F74" w:rsidRPr="007801F6" w:rsidRDefault="00404F74" w:rsidP="00836D3E">
            <w:pPr>
              <w:spacing w:line="276" w:lineRule="auto"/>
              <w:jc w:val="center"/>
              <w:rPr>
                <w:color w:val="000000"/>
              </w:rPr>
            </w:pPr>
            <w:r w:rsidRPr="007801F6">
              <w:rPr>
                <w:color w:val="000000"/>
              </w:rPr>
              <w:t>1 month</w:t>
            </w:r>
          </w:p>
        </w:tc>
        <w:tc>
          <w:tcPr>
            <w:tcW w:w="1596" w:type="dxa"/>
          </w:tcPr>
          <w:p w:rsidR="00404F74" w:rsidRPr="007801F6" w:rsidRDefault="00404F74" w:rsidP="00836D3E">
            <w:pPr>
              <w:spacing w:line="276" w:lineRule="auto"/>
              <w:jc w:val="center"/>
              <w:rPr>
                <w:color w:val="000000"/>
              </w:rPr>
            </w:pPr>
            <w:r w:rsidRPr="007801F6">
              <w:rPr>
                <w:color w:val="000000"/>
              </w:rPr>
              <w:t>3 months</w:t>
            </w:r>
          </w:p>
        </w:tc>
        <w:tc>
          <w:tcPr>
            <w:tcW w:w="1596" w:type="dxa"/>
          </w:tcPr>
          <w:p w:rsidR="00404F74" w:rsidRPr="007801F6" w:rsidRDefault="00404F74" w:rsidP="00836D3E">
            <w:pPr>
              <w:spacing w:line="276" w:lineRule="auto"/>
              <w:jc w:val="center"/>
              <w:rPr>
                <w:color w:val="000000"/>
              </w:rPr>
            </w:pPr>
            <w:r w:rsidRPr="007801F6">
              <w:rPr>
                <w:color w:val="000000"/>
              </w:rPr>
              <w:t>6 months</w:t>
            </w:r>
          </w:p>
        </w:tc>
        <w:tc>
          <w:tcPr>
            <w:tcW w:w="1596" w:type="dxa"/>
          </w:tcPr>
          <w:p w:rsidR="00404F74" w:rsidRPr="007801F6" w:rsidRDefault="00404F74" w:rsidP="00836D3E">
            <w:pPr>
              <w:spacing w:line="276" w:lineRule="auto"/>
              <w:jc w:val="center"/>
              <w:rPr>
                <w:color w:val="000000"/>
              </w:rPr>
            </w:pPr>
            <w:r>
              <w:rPr>
                <w:color w:val="000000"/>
              </w:rPr>
              <w:t>8</w:t>
            </w:r>
            <w:r w:rsidRPr="007801F6">
              <w:rPr>
                <w:color w:val="000000"/>
              </w:rPr>
              <w:t xml:space="preserve"> months</w:t>
            </w:r>
          </w:p>
        </w:tc>
        <w:tc>
          <w:tcPr>
            <w:tcW w:w="1596" w:type="dxa"/>
          </w:tcPr>
          <w:p w:rsidR="00404F74" w:rsidRPr="007801F6" w:rsidRDefault="00404F74" w:rsidP="00836D3E">
            <w:pPr>
              <w:spacing w:line="276" w:lineRule="auto"/>
              <w:jc w:val="center"/>
              <w:rPr>
                <w:color w:val="000000"/>
              </w:rPr>
            </w:pPr>
            <w:r>
              <w:rPr>
                <w:color w:val="000000"/>
              </w:rPr>
              <w:t>Longer than 1 year</w:t>
            </w:r>
          </w:p>
        </w:tc>
      </w:tr>
      <w:tr w:rsidR="00404F74" w:rsidRPr="007801F6" w:rsidTr="00836D3E">
        <w:tc>
          <w:tcPr>
            <w:tcW w:w="1488" w:type="dxa"/>
          </w:tcPr>
          <w:p w:rsidR="00404F74" w:rsidRPr="007801F6" w:rsidRDefault="00404F74" w:rsidP="00836D3E">
            <w:pPr>
              <w:spacing w:line="276" w:lineRule="auto"/>
              <w:rPr>
                <w:color w:val="000000"/>
              </w:rPr>
            </w:pPr>
            <w:r w:rsidRPr="007801F6">
              <w:rPr>
                <w:color w:val="000000"/>
              </w:rPr>
              <w:t xml:space="preserve"># of </w:t>
            </w:r>
            <w:r w:rsidR="00944086">
              <w:rPr>
                <w:color w:val="000000"/>
              </w:rPr>
              <w:t>Class Members</w:t>
            </w:r>
          </w:p>
        </w:tc>
        <w:tc>
          <w:tcPr>
            <w:tcW w:w="1596" w:type="dxa"/>
          </w:tcPr>
          <w:p w:rsidR="00404F74" w:rsidRPr="007801F6" w:rsidRDefault="00404F74" w:rsidP="00836D3E">
            <w:pPr>
              <w:spacing w:line="276" w:lineRule="auto"/>
              <w:jc w:val="center"/>
              <w:rPr>
                <w:color w:val="000000"/>
              </w:rPr>
            </w:pPr>
            <w:r w:rsidRPr="009972EA">
              <w:rPr>
                <w:color w:val="000000"/>
              </w:rPr>
              <w:t>16</w:t>
            </w:r>
          </w:p>
        </w:tc>
        <w:tc>
          <w:tcPr>
            <w:tcW w:w="1596" w:type="dxa"/>
          </w:tcPr>
          <w:p w:rsidR="00404F74" w:rsidRPr="007801F6" w:rsidRDefault="00404F74" w:rsidP="00836D3E">
            <w:pPr>
              <w:spacing w:line="276" w:lineRule="auto"/>
              <w:jc w:val="center"/>
              <w:rPr>
                <w:color w:val="000000"/>
              </w:rPr>
            </w:pPr>
            <w:r w:rsidRPr="009972EA">
              <w:rPr>
                <w:color w:val="000000"/>
              </w:rPr>
              <w:t>12</w:t>
            </w:r>
          </w:p>
        </w:tc>
        <w:tc>
          <w:tcPr>
            <w:tcW w:w="1596" w:type="dxa"/>
          </w:tcPr>
          <w:p w:rsidR="00404F74" w:rsidRPr="007801F6" w:rsidRDefault="00404F74" w:rsidP="00836D3E">
            <w:pPr>
              <w:spacing w:line="276" w:lineRule="auto"/>
              <w:jc w:val="center"/>
              <w:rPr>
                <w:color w:val="000000"/>
              </w:rPr>
            </w:pPr>
            <w:r w:rsidRPr="009972EA">
              <w:rPr>
                <w:color w:val="000000"/>
              </w:rPr>
              <w:t>11</w:t>
            </w:r>
          </w:p>
        </w:tc>
        <w:tc>
          <w:tcPr>
            <w:tcW w:w="1596" w:type="dxa"/>
          </w:tcPr>
          <w:p w:rsidR="00404F74" w:rsidRPr="007801F6" w:rsidRDefault="00404F74" w:rsidP="00836D3E">
            <w:pPr>
              <w:spacing w:line="276" w:lineRule="auto"/>
              <w:jc w:val="center"/>
              <w:rPr>
                <w:color w:val="000000"/>
              </w:rPr>
            </w:pPr>
            <w:r w:rsidRPr="009972EA">
              <w:rPr>
                <w:color w:val="000000"/>
              </w:rPr>
              <w:t>6</w:t>
            </w:r>
          </w:p>
        </w:tc>
        <w:tc>
          <w:tcPr>
            <w:tcW w:w="1596" w:type="dxa"/>
          </w:tcPr>
          <w:p w:rsidR="00404F74" w:rsidRPr="007801F6" w:rsidRDefault="00404F74" w:rsidP="00836D3E">
            <w:pPr>
              <w:spacing w:line="276" w:lineRule="auto"/>
              <w:jc w:val="center"/>
              <w:rPr>
                <w:color w:val="000000"/>
              </w:rPr>
            </w:pPr>
            <w:r w:rsidRPr="009972EA">
              <w:rPr>
                <w:color w:val="000000"/>
              </w:rPr>
              <w:t>14</w:t>
            </w:r>
          </w:p>
        </w:tc>
      </w:tr>
    </w:tbl>
    <w:p w:rsidR="00404F74" w:rsidRPr="007801F6" w:rsidRDefault="00404F74" w:rsidP="00404F74">
      <w:pPr>
        <w:spacing w:after="0"/>
        <w:rPr>
          <w:color w:val="000000"/>
        </w:rPr>
      </w:pPr>
    </w:p>
    <w:p w:rsidR="00404F74" w:rsidRDefault="00404F74" w:rsidP="00404F74">
      <w:pPr>
        <w:spacing w:after="0"/>
        <w:rPr>
          <w:color w:val="000000"/>
        </w:rPr>
      </w:pPr>
      <w:r w:rsidRPr="007801F6">
        <w:rPr>
          <w:color w:val="000000"/>
        </w:rPr>
        <w:t xml:space="preserve">It is a normal part of the IPS </w:t>
      </w:r>
      <w:r>
        <w:rPr>
          <w:color w:val="000000"/>
        </w:rPr>
        <w:t xml:space="preserve">- </w:t>
      </w:r>
      <w:r w:rsidRPr="007801F6">
        <w:rPr>
          <w:color w:val="000000"/>
        </w:rPr>
        <w:t>Supported Employment model</w:t>
      </w:r>
      <w:r>
        <w:rPr>
          <w:color w:val="000000"/>
        </w:rPr>
        <w:t xml:space="preserve"> -</w:t>
      </w:r>
      <w:r w:rsidRPr="007801F6">
        <w:rPr>
          <w:color w:val="000000"/>
        </w:rPr>
        <w:t xml:space="preserve"> for </w:t>
      </w:r>
      <w:r>
        <w:rPr>
          <w:color w:val="000000"/>
        </w:rPr>
        <w:t>individuals</w:t>
      </w:r>
      <w:r w:rsidRPr="007801F6">
        <w:rPr>
          <w:color w:val="000000"/>
        </w:rPr>
        <w:t xml:space="preserve"> to lose jobs in the process.  One core principle is that job loss is a learning event and not a reason to discontinue program engagement.  When there is job loss, the individual and the employment specialist work together to determine what worked well and what did not. This collaboration is incorporated into lessons learned and in developing a correction plan.  Individuals who have experienced job loss are immediately supported in finding another employment.</w:t>
      </w:r>
    </w:p>
    <w:p w:rsidR="00404F74" w:rsidRDefault="00404F74" w:rsidP="00404F74">
      <w:pPr>
        <w:spacing w:after="0"/>
        <w:rPr>
          <w:color w:val="000000"/>
        </w:rPr>
      </w:pPr>
    </w:p>
    <w:p w:rsidR="00DC5C9B" w:rsidRDefault="00404F74" w:rsidP="009E79F9">
      <w:pPr>
        <w:spacing w:after="0"/>
        <w:rPr>
          <w:color w:val="000000"/>
        </w:rPr>
      </w:pPr>
      <w:r>
        <w:rPr>
          <w:color w:val="000000"/>
        </w:rPr>
        <w:t>In April 2015, DMH developed a</w:t>
      </w:r>
      <w:r w:rsidR="00944086">
        <w:rPr>
          <w:color w:val="000000"/>
        </w:rPr>
        <w:t>n action</w:t>
      </w:r>
      <w:r>
        <w:rPr>
          <w:color w:val="000000"/>
        </w:rPr>
        <w:t xml:space="preserve"> plan to increase </w:t>
      </w:r>
      <w:r w:rsidR="00944086">
        <w:rPr>
          <w:color w:val="000000"/>
        </w:rPr>
        <w:t xml:space="preserve">the </w:t>
      </w:r>
      <w:r>
        <w:rPr>
          <w:color w:val="000000"/>
        </w:rPr>
        <w:t xml:space="preserve">engagement of Williams and Colbert </w:t>
      </w:r>
      <w:r w:rsidR="00944086">
        <w:rPr>
          <w:color w:val="000000"/>
        </w:rPr>
        <w:t>Class Members</w:t>
      </w:r>
      <w:r>
        <w:rPr>
          <w:color w:val="000000"/>
        </w:rPr>
        <w:t xml:space="preserve"> around work.  This plan includes hiring a project manager/employment trainer, developing an employment education and outreach campaign, providing broad based and targeted IPS training and technical assistance, building drop-in-center skill and capacity to engage </w:t>
      </w:r>
      <w:r w:rsidR="00944086">
        <w:rPr>
          <w:color w:val="000000"/>
        </w:rPr>
        <w:t>Class Members</w:t>
      </w:r>
      <w:r>
        <w:rPr>
          <w:color w:val="000000"/>
        </w:rPr>
        <w:t xml:space="preserve"> around employment, and building  ACT Team capacity to provide IPS and evidence-informed employment practices.  Process and outcome monitoring </w:t>
      </w:r>
      <w:r w:rsidR="00846705">
        <w:rPr>
          <w:color w:val="000000"/>
        </w:rPr>
        <w:t xml:space="preserve">systems </w:t>
      </w:r>
      <w:r>
        <w:rPr>
          <w:color w:val="000000"/>
        </w:rPr>
        <w:t>will evaluate the effectiveness of the plan.</w:t>
      </w:r>
    </w:p>
    <w:p w:rsidR="000732B3" w:rsidRPr="00F374D0" w:rsidRDefault="000732B3" w:rsidP="00372709">
      <w:pPr>
        <w:spacing w:after="0"/>
        <w:rPr>
          <w:b/>
          <w:u w:val="single"/>
        </w:rPr>
      </w:pPr>
    </w:p>
    <w:p w:rsidR="001B5B29" w:rsidRPr="00A00090" w:rsidRDefault="001B5B29" w:rsidP="00C04E27">
      <w:pPr>
        <w:spacing w:after="0"/>
      </w:pPr>
      <w:r>
        <w:rPr>
          <w:b/>
          <w:u w:val="single"/>
        </w:rPr>
        <w:lastRenderedPageBreak/>
        <w:t>Specialized Mental Health Recovery Support Facilities, Comparable Community Services</w:t>
      </w:r>
      <w:r w:rsidR="00A00090">
        <w:rPr>
          <w:b/>
          <w:u w:val="single"/>
        </w:rPr>
        <w:t xml:space="preserve">  </w:t>
      </w:r>
    </w:p>
    <w:p w:rsidR="001B5B29" w:rsidRDefault="001B5B29" w:rsidP="00C04E27">
      <w:pPr>
        <w:spacing w:after="0"/>
        <w:rPr>
          <w:b/>
          <w:u w:val="single"/>
        </w:rPr>
      </w:pPr>
    </w:p>
    <w:p w:rsidR="001B5B29" w:rsidRDefault="001B5B29" w:rsidP="00C04E27">
      <w:pPr>
        <w:spacing w:after="0"/>
      </w:pPr>
      <w:r>
        <w:t xml:space="preserve">Comparable Community Services (CCS) is a DMH initiative to help offer alternatives to referral into the Specialized Mental Health Recovery Support Facility (SMHRF) level of care.  Funding for programs under this initiative began in February of 2014.  Ten DMH contract provider agencies have opened 29 distinct projects in five defined community areas that have high concentration of nursing homes that currently are identified as Institutes </w:t>
      </w:r>
      <w:r w:rsidR="00DA1DEE">
        <w:t xml:space="preserve">of </w:t>
      </w:r>
      <w:r>
        <w:t>Mental Disease (IMD) and would possibly be certified under the SMHRF Act.  In each of the five target community areas, the funded programs operate as a network to intercept people that are high risk for placement at an IMD and connect them to an array of services that can keep them independent of that level of care.</w:t>
      </w:r>
    </w:p>
    <w:p w:rsidR="00C04E27" w:rsidRDefault="00C04E27" w:rsidP="00C04E27">
      <w:pPr>
        <w:spacing w:after="0"/>
      </w:pPr>
    </w:p>
    <w:p w:rsidR="001B5B29" w:rsidRDefault="001B5B29" w:rsidP="00C04E27">
      <w:pPr>
        <w:spacing w:after="0"/>
      </w:pPr>
      <w:r>
        <w:t>The service categories developed by DMH for the CCS initiative include:</w:t>
      </w:r>
    </w:p>
    <w:p w:rsidR="00C04E27" w:rsidRDefault="00C04E27" w:rsidP="00C04E27">
      <w:pPr>
        <w:spacing w:after="0"/>
      </w:pPr>
    </w:p>
    <w:p w:rsidR="001B5B29" w:rsidRDefault="001B5B29" w:rsidP="00C04E27">
      <w:pPr>
        <w:spacing w:after="0"/>
      </w:pPr>
      <w:r>
        <w:rPr>
          <w:b/>
        </w:rPr>
        <w:t xml:space="preserve">Crisis Assessment and Linkage – </w:t>
      </w:r>
      <w:r w:rsidRPr="00574F92">
        <w:t xml:space="preserve">Mobile workers assigned to respond to </w:t>
      </w:r>
      <w:r>
        <w:t xml:space="preserve">referrals from </w:t>
      </w:r>
      <w:r w:rsidRPr="00574F92">
        <w:t xml:space="preserve">specific </w:t>
      </w:r>
      <w:r>
        <w:t>emergency departments within the target community with the intent of diverting people at high risk of referral to IMD level of care back to community alternative care.</w:t>
      </w:r>
    </w:p>
    <w:p w:rsidR="00C04E27" w:rsidRDefault="00C04E27" w:rsidP="00C04E27">
      <w:pPr>
        <w:spacing w:after="0"/>
      </w:pPr>
    </w:p>
    <w:p w:rsidR="001B5B29" w:rsidRDefault="001B5B29" w:rsidP="00C04E27">
      <w:pPr>
        <w:spacing w:after="0"/>
      </w:pPr>
      <w:r>
        <w:rPr>
          <w:b/>
        </w:rPr>
        <w:t xml:space="preserve">Discharge Linkage and Coordination of Services – </w:t>
      </w:r>
      <w:r w:rsidRPr="00574F92">
        <w:t xml:space="preserve">Mobile workers </w:t>
      </w:r>
      <w:r>
        <w:t xml:space="preserve">assigned to respond to referrals from specific inpatient psychiatric units with the intent of diverting people at high risk for discharge to IMD level of care to community alternative care.   </w:t>
      </w:r>
    </w:p>
    <w:p w:rsidR="00C04E27" w:rsidRDefault="00C04E27" w:rsidP="00C04E27">
      <w:pPr>
        <w:spacing w:after="0"/>
      </w:pPr>
    </w:p>
    <w:p w:rsidR="001B5B29" w:rsidRDefault="001B5B29" w:rsidP="00C04E27">
      <w:pPr>
        <w:spacing w:after="0"/>
      </w:pPr>
      <w:r>
        <w:rPr>
          <w:b/>
        </w:rPr>
        <w:t xml:space="preserve">Outreach to Individuals to Engage in Services – </w:t>
      </w:r>
      <w:r w:rsidRPr="00D40923">
        <w:t>Mobile workers able to follow</w:t>
      </w:r>
      <w:r>
        <w:t xml:space="preserve"> people leaving an emergency department or a psychiatric inpatient unit </w:t>
      </w:r>
      <w:r w:rsidR="00DA1DEE">
        <w:t xml:space="preserve">in </w:t>
      </w:r>
      <w:r>
        <w:t xml:space="preserve">need </w:t>
      </w:r>
      <w:r w:rsidR="00DA1DEE">
        <w:t xml:space="preserve">of </w:t>
      </w:r>
      <w:r>
        <w:t xml:space="preserve">further outreach to be engaged in alternative community care.  </w:t>
      </w:r>
    </w:p>
    <w:p w:rsidR="00C04E27" w:rsidRDefault="00C04E27" w:rsidP="00C04E27">
      <w:pPr>
        <w:spacing w:after="0"/>
      </w:pPr>
    </w:p>
    <w:p w:rsidR="00C04E27" w:rsidRDefault="001B5B29" w:rsidP="00C04E27">
      <w:pPr>
        <w:spacing w:after="0"/>
      </w:pPr>
      <w:r>
        <w:rPr>
          <w:b/>
        </w:rPr>
        <w:t xml:space="preserve">Transitional Living Centers – </w:t>
      </w:r>
      <w:r>
        <w:t xml:space="preserve">Centers that provide immediate housing for individuals up to 90 days while other community housing can be sought/obtained. </w:t>
      </w:r>
    </w:p>
    <w:p w:rsidR="001B5B29" w:rsidRDefault="001B5B29" w:rsidP="00C04E27">
      <w:pPr>
        <w:spacing w:after="0"/>
      </w:pPr>
      <w:r>
        <w:t xml:space="preserve"> </w:t>
      </w:r>
    </w:p>
    <w:p w:rsidR="001B5B29" w:rsidRDefault="001B5B29" w:rsidP="00C04E27">
      <w:pPr>
        <w:spacing w:after="0"/>
      </w:pPr>
      <w:r>
        <w:rPr>
          <w:b/>
        </w:rPr>
        <w:t>Transitional Supervised Residential –</w:t>
      </w:r>
      <w:r>
        <w:t xml:space="preserve"> Housing alternative for people who need focused training to learn skills needed for community living.  Residency can be for up to 180 days.  </w:t>
      </w:r>
    </w:p>
    <w:p w:rsidR="00C04E27" w:rsidRDefault="00C04E27" w:rsidP="00C04E27">
      <w:pPr>
        <w:spacing w:after="0"/>
      </w:pPr>
    </w:p>
    <w:p w:rsidR="001B5B29" w:rsidRDefault="001B5B29" w:rsidP="00C04E27">
      <w:pPr>
        <w:spacing w:after="0"/>
      </w:pPr>
      <w:r>
        <w:rPr>
          <w:b/>
        </w:rPr>
        <w:t xml:space="preserve">Crisis Residential – </w:t>
      </w:r>
      <w:r w:rsidRPr="00574F92">
        <w:t>Short-term (up to 21 days)</w:t>
      </w:r>
      <w:r>
        <w:t xml:space="preserve"> 24-hour supervised residential care with therapeutic interventions to help people in a psychiatric crisis who can be safely managed in a non-hospital setting.  </w:t>
      </w:r>
    </w:p>
    <w:p w:rsidR="00C04E27" w:rsidRDefault="001B5B29" w:rsidP="00C04E27">
      <w:pPr>
        <w:spacing w:after="0"/>
      </w:pPr>
      <w:r>
        <w:t xml:space="preserve">Each local partnership in the five target areas applied for and received funding for different </w:t>
      </w:r>
      <w:r w:rsidR="00A47ED2">
        <w:t>c</w:t>
      </w:r>
      <w:r>
        <w:t xml:space="preserve">ombinations of the above CCS services.  </w:t>
      </w:r>
    </w:p>
    <w:p w:rsidR="00C04E27" w:rsidRDefault="00C04E27" w:rsidP="00C04E27">
      <w:pPr>
        <w:spacing w:after="0"/>
      </w:pPr>
    </w:p>
    <w:p w:rsidR="001B5B29" w:rsidRDefault="001B5B29" w:rsidP="00C04E27">
      <w:pPr>
        <w:spacing w:after="0"/>
      </w:pPr>
      <w:r>
        <w:t>By area, the types and number of programs is as follows:</w:t>
      </w:r>
    </w:p>
    <w:p w:rsidR="00C04E27" w:rsidRDefault="00C04E27" w:rsidP="00C04E27">
      <w:pPr>
        <w:spacing w:after="0"/>
      </w:pPr>
    </w:p>
    <w:p w:rsidR="001B5B29" w:rsidRDefault="001B5B29" w:rsidP="00C04E27">
      <w:pPr>
        <w:spacing w:after="0"/>
      </w:pPr>
      <w:r w:rsidRPr="00FA70B0">
        <w:rPr>
          <w:b/>
          <w:i/>
          <w:u w:val="single"/>
        </w:rPr>
        <w:t>Chicago Northside Collaborative</w:t>
      </w:r>
      <w:r>
        <w:t xml:space="preserve"> (Thresholds as Lead Agency)</w:t>
      </w:r>
    </w:p>
    <w:p w:rsidR="001B5B29" w:rsidRDefault="001B5B29" w:rsidP="00C04E27">
      <w:pPr>
        <w:pStyle w:val="ListParagraph"/>
        <w:numPr>
          <w:ilvl w:val="0"/>
          <w:numId w:val="12"/>
        </w:numPr>
        <w:spacing w:after="0"/>
        <w:ind w:left="0" w:firstLine="270"/>
      </w:pPr>
      <w:r>
        <w:t>2 Crisis Assessment &amp; Linkage Programs (Trilogy, and C4)</w:t>
      </w:r>
    </w:p>
    <w:p w:rsidR="001B5B29" w:rsidRDefault="001B5B29" w:rsidP="00C04E27">
      <w:pPr>
        <w:pStyle w:val="ListParagraph"/>
        <w:numPr>
          <w:ilvl w:val="0"/>
          <w:numId w:val="12"/>
        </w:numPr>
        <w:spacing w:after="0"/>
        <w:ind w:left="0" w:firstLine="270"/>
      </w:pPr>
      <w:r>
        <w:t>3 Discharge Linkage and Coordination Programs (Thresholds, Trilogy, and C4)</w:t>
      </w:r>
    </w:p>
    <w:p w:rsidR="001B5B29" w:rsidRDefault="001B5B29" w:rsidP="00C04E27">
      <w:pPr>
        <w:pStyle w:val="ListParagraph"/>
        <w:numPr>
          <w:ilvl w:val="0"/>
          <w:numId w:val="12"/>
        </w:numPr>
        <w:spacing w:after="0"/>
        <w:ind w:left="0" w:firstLine="270"/>
      </w:pPr>
      <w:r>
        <w:lastRenderedPageBreak/>
        <w:t>3 Outreach to Engage in Service Programs (Thresholds, Trilogy, and C4)</w:t>
      </w:r>
    </w:p>
    <w:p w:rsidR="001B5B29" w:rsidRDefault="001B5B29" w:rsidP="00C04E27">
      <w:pPr>
        <w:pStyle w:val="ListParagraph"/>
        <w:numPr>
          <w:ilvl w:val="0"/>
          <w:numId w:val="12"/>
        </w:numPr>
        <w:spacing w:after="0"/>
        <w:ind w:left="0" w:firstLine="270"/>
      </w:pPr>
      <w:r>
        <w:t>2 Transitional Living Centers (Trilogy and Neumann Family Services)</w:t>
      </w:r>
    </w:p>
    <w:p w:rsidR="00C04E27" w:rsidRDefault="00C04E27" w:rsidP="00C04E27">
      <w:pPr>
        <w:pStyle w:val="ListParagraph"/>
        <w:spacing w:after="0"/>
        <w:ind w:left="270"/>
      </w:pPr>
    </w:p>
    <w:p w:rsidR="001B5B29" w:rsidRDefault="001B5B29" w:rsidP="00C04E27">
      <w:pPr>
        <w:spacing w:after="0"/>
      </w:pPr>
      <w:r w:rsidRPr="00FA70B0">
        <w:rPr>
          <w:b/>
          <w:i/>
          <w:u w:val="single"/>
        </w:rPr>
        <w:t>Chicago Southside Collaborative</w:t>
      </w:r>
      <w:r>
        <w:t xml:space="preserve"> (Human Resource Development Institute as Lead Agency)  </w:t>
      </w:r>
    </w:p>
    <w:p w:rsidR="001B5B29" w:rsidRDefault="001B5B29" w:rsidP="00C04E27">
      <w:pPr>
        <w:pStyle w:val="ListParagraph"/>
        <w:numPr>
          <w:ilvl w:val="0"/>
          <w:numId w:val="12"/>
        </w:numPr>
        <w:spacing w:after="0"/>
        <w:ind w:left="0" w:firstLine="270"/>
      </w:pPr>
      <w:r>
        <w:t>1 Crisis Assessment &amp; Linkage Program (HRDI)</w:t>
      </w:r>
    </w:p>
    <w:p w:rsidR="001B5B29" w:rsidRDefault="001B5B29" w:rsidP="00C04E27">
      <w:pPr>
        <w:pStyle w:val="ListParagraph"/>
        <w:numPr>
          <w:ilvl w:val="0"/>
          <w:numId w:val="12"/>
        </w:numPr>
        <w:spacing w:after="0"/>
        <w:ind w:left="0" w:firstLine="270"/>
      </w:pPr>
      <w:r>
        <w:t>1 Discharge Linkage and Coordination Program (Thresholds)</w:t>
      </w:r>
    </w:p>
    <w:p w:rsidR="001B5B29" w:rsidRDefault="001B5B29" w:rsidP="00C04E27">
      <w:pPr>
        <w:pStyle w:val="ListParagraph"/>
        <w:numPr>
          <w:ilvl w:val="0"/>
          <w:numId w:val="12"/>
        </w:numPr>
        <w:spacing w:after="0"/>
        <w:ind w:left="0" w:firstLine="270"/>
      </w:pPr>
      <w:r>
        <w:t>1 Outreach to Engage in Service Program (Thresholds)</w:t>
      </w:r>
    </w:p>
    <w:p w:rsidR="001B5B29" w:rsidRDefault="001B5B29" w:rsidP="00C04E27">
      <w:pPr>
        <w:pStyle w:val="ListParagraph"/>
        <w:numPr>
          <w:ilvl w:val="0"/>
          <w:numId w:val="12"/>
        </w:numPr>
        <w:spacing w:after="0"/>
        <w:ind w:left="0" w:firstLine="270"/>
      </w:pPr>
      <w:r>
        <w:t xml:space="preserve">1 Transitional Living Centers (Thresholds) </w:t>
      </w:r>
    </w:p>
    <w:p w:rsidR="001B5B29" w:rsidRDefault="001B5B29" w:rsidP="00C04E27">
      <w:pPr>
        <w:pStyle w:val="ListParagraph"/>
        <w:numPr>
          <w:ilvl w:val="0"/>
          <w:numId w:val="12"/>
        </w:numPr>
        <w:spacing w:after="0"/>
        <w:ind w:left="0" w:firstLine="270"/>
      </w:pPr>
      <w:r>
        <w:t>1 Transitional Supervised Residential (HRDI)</w:t>
      </w:r>
    </w:p>
    <w:p w:rsidR="00C04E27" w:rsidRDefault="00C04E27" w:rsidP="00C04E27">
      <w:pPr>
        <w:spacing w:after="0"/>
        <w:rPr>
          <w:b/>
          <w:i/>
          <w:u w:val="single"/>
        </w:rPr>
      </w:pPr>
    </w:p>
    <w:p w:rsidR="001B5B29" w:rsidRDefault="001B5B29" w:rsidP="00C04E27">
      <w:pPr>
        <w:spacing w:after="0"/>
      </w:pPr>
      <w:r w:rsidRPr="00FA70B0">
        <w:rPr>
          <w:b/>
          <w:i/>
          <w:u w:val="single"/>
        </w:rPr>
        <w:t>South Suburban Collaborative</w:t>
      </w:r>
      <w:r w:rsidRPr="00FA70B0">
        <w:rPr>
          <w:b/>
          <w:i/>
        </w:rPr>
        <w:t xml:space="preserve"> </w:t>
      </w:r>
      <w:r>
        <w:t xml:space="preserve">(Grand Prairie Services as Lead Agency)  </w:t>
      </w:r>
    </w:p>
    <w:p w:rsidR="001B5B29" w:rsidRDefault="001B5B29" w:rsidP="00C04E27">
      <w:pPr>
        <w:pStyle w:val="ListParagraph"/>
        <w:numPr>
          <w:ilvl w:val="0"/>
          <w:numId w:val="12"/>
        </w:numPr>
        <w:spacing w:after="0"/>
        <w:ind w:left="0" w:firstLine="270"/>
      </w:pPr>
      <w:r>
        <w:t>2 Crisis Assessment &amp; Linkage Programs (GPS and Sertoma Center)</w:t>
      </w:r>
    </w:p>
    <w:p w:rsidR="001B5B29" w:rsidRDefault="001B5B29" w:rsidP="00C04E27">
      <w:pPr>
        <w:pStyle w:val="ListParagraph"/>
        <w:numPr>
          <w:ilvl w:val="0"/>
          <w:numId w:val="12"/>
        </w:numPr>
        <w:spacing w:after="0"/>
        <w:ind w:left="0" w:firstLine="270"/>
      </w:pPr>
      <w:r>
        <w:t>1 Discharge Linkage and Coordination Program (Sertoma Center)</w:t>
      </w:r>
    </w:p>
    <w:p w:rsidR="001B5B29" w:rsidRDefault="001B5B29" w:rsidP="00C04E27">
      <w:pPr>
        <w:pStyle w:val="ListParagraph"/>
        <w:numPr>
          <w:ilvl w:val="0"/>
          <w:numId w:val="12"/>
        </w:numPr>
        <w:spacing w:after="0"/>
        <w:ind w:left="0" w:firstLine="270"/>
      </w:pPr>
      <w:r>
        <w:t>1 Outreach to Engage in Service Program (Sertoma Center)</w:t>
      </w:r>
    </w:p>
    <w:p w:rsidR="001B5B29" w:rsidRDefault="001B5B29" w:rsidP="00C04E27">
      <w:pPr>
        <w:pStyle w:val="ListParagraph"/>
        <w:numPr>
          <w:ilvl w:val="0"/>
          <w:numId w:val="12"/>
        </w:numPr>
        <w:spacing w:after="0"/>
        <w:ind w:left="0" w:firstLine="270"/>
      </w:pPr>
      <w:r>
        <w:t xml:space="preserve">2 Transitional Living Centers (HRDI and Thresholds) </w:t>
      </w:r>
    </w:p>
    <w:p w:rsidR="00C04E27" w:rsidRDefault="00C04E27" w:rsidP="00C04E27">
      <w:pPr>
        <w:spacing w:after="0"/>
        <w:rPr>
          <w:b/>
          <w:i/>
          <w:u w:val="single"/>
        </w:rPr>
      </w:pPr>
    </w:p>
    <w:p w:rsidR="001B5B29" w:rsidRDefault="001B5B29" w:rsidP="00C04E27">
      <w:pPr>
        <w:spacing w:after="0"/>
      </w:pPr>
      <w:r>
        <w:rPr>
          <w:b/>
          <w:i/>
          <w:u w:val="single"/>
        </w:rPr>
        <w:t xml:space="preserve">Kankakee </w:t>
      </w:r>
      <w:r w:rsidRPr="00FA70B0">
        <w:rPr>
          <w:b/>
          <w:i/>
          <w:u w:val="single"/>
        </w:rPr>
        <w:t>Collaborative</w:t>
      </w:r>
      <w:r w:rsidRPr="00FA70B0">
        <w:rPr>
          <w:b/>
          <w:i/>
        </w:rPr>
        <w:t xml:space="preserve"> </w:t>
      </w:r>
      <w:r>
        <w:t>(Helen Wheeler Center as Lead Agency)</w:t>
      </w:r>
      <w:r w:rsidRPr="00924F12">
        <w:t xml:space="preserve"> </w:t>
      </w:r>
    </w:p>
    <w:p w:rsidR="001B5B29" w:rsidRDefault="001B5B29" w:rsidP="00C04E27">
      <w:pPr>
        <w:pStyle w:val="ListParagraph"/>
        <w:numPr>
          <w:ilvl w:val="0"/>
          <w:numId w:val="12"/>
        </w:numPr>
        <w:spacing w:after="0"/>
        <w:ind w:left="0" w:firstLine="270"/>
      </w:pPr>
      <w:r>
        <w:t>1 Crisis Assessment &amp; Linkage Program (Helen Wheeler Center)</w:t>
      </w:r>
    </w:p>
    <w:p w:rsidR="001B5B29" w:rsidRDefault="001B5B29" w:rsidP="00C04E27">
      <w:pPr>
        <w:pStyle w:val="ListParagraph"/>
        <w:numPr>
          <w:ilvl w:val="0"/>
          <w:numId w:val="12"/>
        </w:numPr>
        <w:spacing w:after="0"/>
        <w:ind w:left="0" w:firstLine="270"/>
      </w:pPr>
      <w:r>
        <w:t>1 Discharge Linkage and Coordination Program (Helen Wheeler Center)</w:t>
      </w:r>
    </w:p>
    <w:p w:rsidR="001B5B29" w:rsidRDefault="001B5B29" w:rsidP="00C04E27">
      <w:pPr>
        <w:pStyle w:val="ListParagraph"/>
        <w:numPr>
          <w:ilvl w:val="0"/>
          <w:numId w:val="12"/>
        </w:numPr>
        <w:spacing w:after="0"/>
        <w:ind w:left="0" w:firstLine="270"/>
      </w:pPr>
      <w:r>
        <w:t>1 Outreach to Engage in Service Program (Thresholds)</w:t>
      </w:r>
    </w:p>
    <w:p w:rsidR="001B5B29" w:rsidRDefault="001B5B29" w:rsidP="00C04E27">
      <w:pPr>
        <w:pStyle w:val="ListParagraph"/>
        <w:numPr>
          <w:ilvl w:val="0"/>
          <w:numId w:val="12"/>
        </w:numPr>
        <w:spacing w:after="0"/>
        <w:ind w:left="0" w:firstLine="270"/>
      </w:pPr>
      <w:r>
        <w:t>1 Transitional Living Center (Thresholds)</w:t>
      </w:r>
    </w:p>
    <w:p w:rsidR="001B5B29" w:rsidRDefault="001B5B29" w:rsidP="00C04E27">
      <w:pPr>
        <w:pStyle w:val="ListParagraph"/>
        <w:numPr>
          <w:ilvl w:val="0"/>
          <w:numId w:val="12"/>
        </w:numPr>
        <w:spacing w:after="0"/>
        <w:ind w:left="0" w:firstLine="270"/>
      </w:pPr>
      <w:r>
        <w:t>1 Crisis Residential Program (Riverside Hospital)</w:t>
      </w:r>
    </w:p>
    <w:p w:rsidR="00C04E27" w:rsidRDefault="00C04E27" w:rsidP="00C04E27">
      <w:pPr>
        <w:spacing w:after="0"/>
        <w:rPr>
          <w:b/>
          <w:i/>
          <w:u w:val="single"/>
        </w:rPr>
      </w:pPr>
    </w:p>
    <w:p w:rsidR="001B5B29" w:rsidRDefault="001B5B29" w:rsidP="00C04E27">
      <w:pPr>
        <w:spacing w:after="0"/>
      </w:pPr>
      <w:r w:rsidRPr="00924F12">
        <w:rPr>
          <w:b/>
          <w:i/>
          <w:u w:val="single"/>
        </w:rPr>
        <w:t>Decatur Area</w:t>
      </w:r>
      <w:r w:rsidRPr="00924F12">
        <w:rPr>
          <w:b/>
          <w:i/>
        </w:rPr>
        <w:t xml:space="preserve"> </w:t>
      </w:r>
      <w:r w:rsidRPr="00924F12">
        <w:t>(</w:t>
      </w:r>
      <w:r>
        <w:t>Heritage Behavioral Health Center as Lead Agency)</w:t>
      </w:r>
      <w:r w:rsidRPr="00924F12">
        <w:t xml:space="preserve"> </w:t>
      </w:r>
    </w:p>
    <w:p w:rsidR="001B5B29" w:rsidRDefault="001B5B29" w:rsidP="00C04E27">
      <w:pPr>
        <w:pStyle w:val="ListParagraph"/>
        <w:numPr>
          <w:ilvl w:val="0"/>
          <w:numId w:val="12"/>
        </w:numPr>
        <w:spacing w:after="0"/>
        <w:ind w:left="0" w:firstLine="270"/>
      </w:pPr>
      <w:r>
        <w:t>1 Crisis Assessment &amp; Linkage Program (Heritage</w:t>
      </w:r>
      <w:r w:rsidRPr="00924F12">
        <w:t xml:space="preserve"> </w:t>
      </w:r>
      <w:r>
        <w:t>Behavioral Health Center)</w:t>
      </w:r>
    </w:p>
    <w:p w:rsidR="001B5B29" w:rsidRDefault="001B5B29" w:rsidP="00C04E27">
      <w:pPr>
        <w:pStyle w:val="ListParagraph"/>
        <w:numPr>
          <w:ilvl w:val="0"/>
          <w:numId w:val="12"/>
        </w:numPr>
        <w:spacing w:after="0"/>
        <w:ind w:left="0" w:firstLine="270"/>
      </w:pPr>
      <w:r>
        <w:t>1 Discharge Linkage and Coordination Program (Heritage Behavioral Health Center)</w:t>
      </w:r>
    </w:p>
    <w:p w:rsidR="001B5B29" w:rsidRDefault="001B5B29" w:rsidP="00C04E27">
      <w:pPr>
        <w:pStyle w:val="ListParagraph"/>
        <w:numPr>
          <w:ilvl w:val="0"/>
          <w:numId w:val="12"/>
        </w:numPr>
        <w:spacing w:after="0"/>
        <w:ind w:left="0" w:firstLine="270"/>
      </w:pPr>
      <w:r>
        <w:t xml:space="preserve">1 Transitional Living Center (Heritage Behavioral Health Center) </w:t>
      </w:r>
    </w:p>
    <w:p w:rsidR="00C04E27" w:rsidRDefault="00C04E27" w:rsidP="00C04E27">
      <w:pPr>
        <w:spacing w:after="0"/>
      </w:pPr>
    </w:p>
    <w:p w:rsidR="001B5B29" w:rsidRDefault="001B5B29" w:rsidP="00C04E27">
      <w:pPr>
        <w:spacing w:after="0"/>
      </w:pPr>
      <w:r>
        <w:t>These new CCS programs are organized locally by the lead agency, which works to integrate their services with other DMH funded programs to create the fullest array of alternatives to ID level of care.  For example, both the South Suburban and the Decatur area utilize pre-existing crisis residential programs for people needing that level of care, and all CCS networks use the full network of DMH provider agencies for key services such as Community Support Team (CST) and Assertive Community Treatment (ACT).  The CCS Collaboratives have also had success using project-based housing subsidy programs to secure housing for people exiting the Transitional Living Centers, and DMH sponsored tenant-based subsidies are being explored for about 34 current TLC residents.  The Collaboratives have also established working relationships with the 33 hospital emergency departments and the 23 inpatient psychiatric units operating in the 5 target community areas.</w:t>
      </w:r>
    </w:p>
    <w:p w:rsidR="00C04E27" w:rsidRDefault="00C04E27" w:rsidP="00C04E27">
      <w:pPr>
        <w:spacing w:after="0"/>
      </w:pPr>
    </w:p>
    <w:p w:rsidR="001B5B29" w:rsidRDefault="001B5B29" w:rsidP="00C04E27">
      <w:pPr>
        <w:spacing w:after="0"/>
      </w:pPr>
      <w:r>
        <w:t xml:space="preserve">The projected FY15 full year cost of these CCS programs is approximately $11,994,400.  On April 2, 2015, the 6 Outreach to Engage Programs were notified that their contracts were suspended due to budget </w:t>
      </w:r>
      <w:r>
        <w:lastRenderedPageBreak/>
        <w:t xml:space="preserve">shortfalls, but these contracts were later reinstated after the State realized higher than projected revenue in April.  </w:t>
      </w:r>
    </w:p>
    <w:p w:rsidR="001B5B29" w:rsidRDefault="001B5B29" w:rsidP="00C04E27">
      <w:pPr>
        <w:spacing w:after="0"/>
        <w:rPr>
          <w:rFonts w:cs="Arial"/>
        </w:rPr>
      </w:pPr>
    </w:p>
    <w:p w:rsidR="00AE785C" w:rsidRDefault="00AE785C" w:rsidP="00C04E27">
      <w:pPr>
        <w:spacing w:after="0"/>
        <w:rPr>
          <w:b/>
          <w:u w:val="single"/>
        </w:rPr>
      </w:pPr>
    </w:p>
    <w:p w:rsidR="001B5B29" w:rsidRDefault="001B5B29" w:rsidP="00C04E27">
      <w:pPr>
        <w:spacing w:after="0"/>
        <w:rPr>
          <w:color w:val="403152" w:themeColor="accent4" w:themeShade="80"/>
        </w:rPr>
      </w:pPr>
      <w:r>
        <w:rPr>
          <w:b/>
          <w:u w:val="single"/>
        </w:rPr>
        <w:t>Persons served</w:t>
      </w:r>
      <w:r>
        <w:rPr>
          <w:color w:val="403152" w:themeColor="accent4" w:themeShade="80"/>
        </w:rPr>
        <w:t xml:space="preserve">  </w:t>
      </w:r>
    </w:p>
    <w:p w:rsidR="001B5B29" w:rsidRDefault="001B5B29" w:rsidP="00C04E27">
      <w:pPr>
        <w:spacing w:after="0"/>
      </w:pPr>
      <w:r>
        <w:t xml:space="preserve">Provider reports submitted at the end of each quarter have been used for an interim count on persons served until modifications to the DMH reporting system can produce reports.  The table below presents information taken from reports for the last two quarters of FY14 and the first two quarters of FY15, so it represents information on CCS operations from inception through December 31, 2014.   A total of 2,165 service episodes have been reported by the 29 separate programs that comprise the 5 service networks or areas.  It must be noted that these figures contain a degree of duplication as a person served by one CCS program (e.g., Crisis Assessment &amp; Linkage) may move on to another CCS program (e.g., Transitional Living Center).  There may also be duplication across quarterly reports as well.  The Division has begun an effort to clean the data to remove duplicated individuals and better understand how the different types of service are being utilized. </w:t>
      </w:r>
    </w:p>
    <w:p w:rsidR="00840A02" w:rsidRDefault="00840A02" w:rsidP="001B5B29"/>
    <w:tbl>
      <w:tblPr>
        <w:tblStyle w:val="TableGrid"/>
        <w:tblpPr w:leftFromText="180" w:rightFromText="180" w:vertAnchor="text" w:horzAnchor="margin" w:tblpY="22"/>
        <w:tblW w:w="9828" w:type="dxa"/>
        <w:tblLayout w:type="fixed"/>
        <w:tblLook w:val="04E0" w:firstRow="1" w:lastRow="1" w:firstColumn="1" w:lastColumn="0" w:noHBand="0" w:noVBand="1"/>
      </w:tblPr>
      <w:tblGrid>
        <w:gridCol w:w="1818"/>
        <w:gridCol w:w="1170"/>
        <w:gridCol w:w="1170"/>
        <w:gridCol w:w="1260"/>
        <w:gridCol w:w="1170"/>
        <w:gridCol w:w="1260"/>
        <w:gridCol w:w="990"/>
        <w:gridCol w:w="990"/>
      </w:tblGrid>
      <w:tr w:rsidR="001B5B29" w:rsidTr="0065046B">
        <w:trPr>
          <w:trHeight w:val="352"/>
        </w:trPr>
        <w:tc>
          <w:tcPr>
            <w:tcW w:w="8838"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rPr>
                <w:b/>
              </w:rPr>
            </w:pPr>
            <w:r>
              <w:rPr>
                <w:b/>
              </w:rPr>
              <w:t xml:space="preserve">Persons Served by Community Comparable Services Projects </w:t>
            </w:r>
            <w:r w:rsidRPr="00805FDB">
              <w:rPr>
                <w:b/>
                <w:sz w:val="16"/>
                <w:szCs w:val="16"/>
              </w:rPr>
              <w:t>(inception through December 31, 2014)</w:t>
            </w:r>
          </w:p>
        </w:tc>
        <w:tc>
          <w:tcPr>
            <w:tcW w:w="990" w:type="dxa"/>
            <w:tcBorders>
              <w:top w:val="single" w:sz="4" w:space="0" w:color="auto"/>
              <w:left w:val="single" w:sz="4" w:space="0" w:color="auto"/>
              <w:bottom w:val="single" w:sz="4" w:space="0" w:color="auto"/>
              <w:right w:val="single" w:sz="4" w:space="0" w:color="auto"/>
            </w:tcBorders>
            <w:shd w:val="pct15" w:color="auto" w:fill="auto"/>
          </w:tcPr>
          <w:p w:rsidR="001B5B29" w:rsidRDefault="001B5B29" w:rsidP="00836D3E">
            <w:pPr>
              <w:spacing w:line="276" w:lineRule="auto"/>
              <w:rPr>
                <w:b/>
              </w:rPr>
            </w:pPr>
          </w:p>
        </w:tc>
      </w:tr>
      <w:tr w:rsidR="001B5B29" w:rsidTr="0065046B">
        <w:tc>
          <w:tcPr>
            <w:tcW w:w="18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jc w:val="center"/>
              <w:rPr>
                <w:b/>
                <w:sz w:val="16"/>
                <w:szCs w:val="16"/>
              </w:rPr>
            </w:pPr>
            <w:r>
              <w:rPr>
                <w:b/>
                <w:sz w:val="16"/>
                <w:szCs w:val="16"/>
              </w:rPr>
              <w:t>Area</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jc w:val="center"/>
              <w:rPr>
                <w:b/>
                <w:sz w:val="16"/>
                <w:szCs w:val="16"/>
              </w:rPr>
            </w:pPr>
            <w:r>
              <w:rPr>
                <w:b/>
                <w:sz w:val="16"/>
                <w:szCs w:val="16"/>
              </w:rPr>
              <w:t>Crisis Assessment &amp; Linkage</w:t>
            </w:r>
          </w:p>
        </w:tc>
        <w:tc>
          <w:tcPr>
            <w:tcW w:w="117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jc w:val="center"/>
              <w:rPr>
                <w:b/>
                <w:sz w:val="16"/>
                <w:szCs w:val="16"/>
              </w:rPr>
            </w:pPr>
            <w:r>
              <w:rPr>
                <w:b/>
                <w:sz w:val="16"/>
                <w:szCs w:val="16"/>
              </w:rPr>
              <w:t>Discharge Linkage &amp; Coordination</w:t>
            </w:r>
          </w:p>
        </w:tc>
        <w:tc>
          <w:tcPr>
            <w:tcW w:w="126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jc w:val="center"/>
              <w:rPr>
                <w:b/>
                <w:sz w:val="16"/>
                <w:szCs w:val="16"/>
              </w:rPr>
            </w:pPr>
            <w:r>
              <w:rPr>
                <w:b/>
                <w:sz w:val="16"/>
                <w:szCs w:val="16"/>
              </w:rPr>
              <w:t xml:space="preserve">Outreach to Individuals to Engage  </w:t>
            </w:r>
          </w:p>
        </w:tc>
        <w:tc>
          <w:tcPr>
            <w:tcW w:w="1170" w:type="dxa"/>
            <w:tcBorders>
              <w:top w:val="single" w:sz="4" w:space="0" w:color="auto"/>
              <w:left w:val="single" w:sz="4" w:space="0" w:color="auto"/>
              <w:bottom w:val="single" w:sz="4" w:space="0" w:color="auto"/>
              <w:right w:val="single" w:sz="4" w:space="0" w:color="auto"/>
            </w:tcBorders>
            <w:shd w:val="pct15" w:color="auto" w:fill="auto"/>
            <w:hideMark/>
          </w:tcPr>
          <w:p w:rsidR="001B5B29" w:rsidRDefault="001B5B29" w:rsidP="00836D3E">
            <w:pPr>
              <w:spacing w:line="276" w:lineRule="auto"/>
              <w:jc w:val="center"/>
              <w:rPr>
                <w:b/>
                <w:sz w:val="16"/>
                <w:szCs w:val="16"/>
              </w:rPr>
            </w:pPr>
            <w:r>
              <w:rPr>
                <w:b/>
                <w:sz w:val="16"/>
                <w:szCs w:val="16"/>
              </w:rPr>
              <w:t>Transitional Living Centers</w:t>
            </w:r>
          </w:p>
        </w:tc>
        <w:tc>
          <w:tcPr>
            <w:tcW w:w="126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jc w:val="center"/>
              <w:rPr>
                <w:b/>
                <w:sz w:val="16"/>
                <w:szCs w:val="16"/>
              </w:rPr>
            </w:pPr>
            <w:r>
              <w:rPr>
                <w:b/>
                <w:sz w:val="16"/>
                <w:szCs w:val="16"/>
              </w:rPr>
              <w:t xml:space="preserve">Transitional Supervised Residential </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5B29" w:rsidRDefault="001B5B29" w:rsidP="00836D3E">
            <w:pPr>
              <w:spacing w:line="276" w:lineRule="auto"/>
              <w:jc w:val="center"/>
              <w:rPr>
                <w:b/>
                <w:sz w:val="16"/>
                <w:szCs w:val="16"/>
              </w:rPr>
            </w:pPr>
            <w:r>
              <w:rPr>
                <w:b/>
                <w:sz w:val="16"/>
                <w:szCs w:val="16"/>
              </w:rPr>
              <w:t xml:space="preserve">Crisis Residential </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rsidR="001B5B29" w:rsidRDefault="001B5B29" w:rsidP="00836D3E">
            <w:pPr>
              <w:spacing w:line="276" w:lineRule="auto"/>
              <w:jc w:val="center"/>
              <w:rPr>
                <w:b/>
                <w:sz w:val="16"/>
                <w:szCs w:val="16"/>
              </w:rPr>
            </w:pPr>
            <w:r>
              <w:rPr>
                <w:b/>
                <w:sz w:val="16"/>
                <w:szCs w:val="16"/>
              </w:rPr>
              <w:t xml:space="preserve">Totals </w:t>
            </w:r>
          </w:p>
        </w:tc>
      </w:tr>
      <w:tr w:rsidR="001B5B29" w:rsidTr="0065046B">
        <w:trPr>
          <w:trHeight w:val="583"/>
        </w:trPr>
        <w:tc>
          <w:tcPr>
            <w:tcW w:w="1818"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North Chicago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2</w:t>
            </w:r>
            <w:r>
              <w:rPr>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448</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333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rsidR="001B5B29" w:rsidRPr="007B2B1E" w:rsidRDefault="001B5B29" w:rsidP="00836D3E">
            <w:pPr>
              <w:spacing w:line="276" w:lineRule="auto"/>
              <w:jc w:val="center"/>
              <w:rPr>
                <w:sz w:val="20"/>
                <w:szCs w:val="20"/>
              </w:rPr>
            </w:pPr>
            <w:r w:rsidRPr="007B2B1E">
              <w:rPr>
                <w:sz w:val="20"/>
                <w:szCs w:val="20"/>
              </w:rPr>
              <w:t>843</w:t>
            </w:r>
          </w:p>
        </w:tc>
      </w:tr>
      <w:tr w:rsidR="001B5B29" w:rsidTr="0065046B">
        <w:trPr>
          <w:trHeight w:val="347"/>
        </w:trPr>
        <w:tc>
          <w:tcPr>
            <w:tcW w:w="1818"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South Chicago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1</w:t>
            </w:r>
            <w:r>
              <w:rPr>
                <w:sz w:val="20"/>
                <w:szCs w:val="20"/>
              </w:rPr>
              <w:t>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rsidR="001B5B29" w:rsidRPr="007B2B1E" w:rsidRDefault="001B5B29" w:rsidP="00836D3E">
            <w:pPr>
              <w:spacing w:line="276" w:lineRule="auto"/>
              <w:jc w:val="center"/>
              <w:rPr>
                <w:sz w:val="20"/>
                <w:szCs w:val="20"/>
              </w:rPr>
            </w:pPr>
            <w:r w:rsidRPr="007B2B1E">
              <w:rPr>
                <w:sz w:val="20"/>
                <w:szCs w:val="20"/>
              </w:rPr>
              <w:t>358</w:t>
            </w:r>
          </w:p>
        </w:tc>
      </w:tr>
      <w:tr w:rsidR="001B5B29" w:rsidTr="0065046B">
        <w:trPr>
          <w:trHeight w:val="347"/>
        </w:trPr>
        <w:tc>
          <w:tcPr>
            <w:tcW w:w="1818"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South Suburbs</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107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64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8</w:t>
            </w:r>
            <w:r>
              <w:rPr>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rsidR="001B5B29" w:rsidRPr="007B2B1E" w:rsidRDefault="001B5B29" w:rsidP="00836D3E">
            <w:pPr>
              <w:spacing w:line="276" w:lineRule="auto"/>
              <w:jc w:val="center"/>
              <w:rPr>
                <w:sz w:val="20"/>
                <w:szCs w:val="20"/>
              </w:rPr>
            </w:pPr>
            <w:r w:rsidRPr="007B2B1E">
              <w:rPr>
                <w:sz w:val="20"/>
                <w:szCs w:val="20"/>
              </w:rPr>
              <w:t>268</w:t>
            </w:r>
          </w:p>
        </w:tc>
      </w:tr>
      <w:tr w:rsidR="001B5B29" w:rsidTr="0065046B">
        <w:trPr>
          <w:trHeight w:val="347"/>
        </w:trPr>
        <w:tc>
          <w:tcPr>
            <w:tcW w:w="1818"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Kankakee Area</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1B5B29" w:rsidRPr="007B2B1E" w:rsidRDefault="001B5B29" w:rsidP="00836D3E">
            <w:pPr>
              <w:spacing w:line="276" w:lineRule="auto"/>
              <w:jc w:val="center"/>
              <w:rPr>
                <w:sz w:val="20"/>
                <w:szCs w:val="20"/>
              </w:rPr>
            </w:pPr>
            <w:r w:rsidRPr="007B2B1E">
              <w:rPr>
                <w:sz w:val="20"/>
                <w:szCs w:val="20"/>
              </w:rPr>
              <w:t>80</w:t>
            </w:r>
          </w:p>
        </w:tc>
      </w:tr>
      <w:tr w:rsidR="001B5B29" w:rsidTr="0065046B">
        <w:trPr>
          <w:trHeight w:val="365"/>
        </w:trPr>
        <w:tc>
          <w:tcPr>
            <w:tcW w:w="1818"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sidRPr="00017F3A">
              <w:rPr>
                <w:sz w:val="20"/>
                <w:szCs w:val="20"/>
              </w:rPr>
              <w:t>Decatur Area</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256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350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20"/>
                <w:szCs w:val="20"/>
              </w:rPr>
            </w:pPr>
            <w:r w:rsidRPr="00017F3A">
              <w:rPr>
                <w:i/>
                <w:sz w:val="20"/>
                <w:szCs w:val="20"/>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i/>
                <w:sz w:val="18"/>
                <w:szCs w:val="18"/>
              </w:rPr>
            </w:pPr>
            <w:r w:rsidRPr="00017F3A">
              <w:rPr>
                <w:i/>
                <w:sz w:val="18"/>
                <w:szCs w:val="18"/>
              </w:rPr>
              <w:t>n/a</w:t>
            </w:r>
          </w:p>
        </w:tc>
        <w:tc>
          <w:tcPr>
            <w:tcW w:w="990" w:type="dxa"/>
            <w:tcBorders>
              <w:top w:val="single" w:sz="4" w:space="0" w:color="auto"/>
              <w:left w:val="single" w:sz="4" w:space="0" w:color="auto"/>
              <w:bottom w:val="single" w:sz="4" w:space="0" w:color="auto"/>
              <w:right w:val="single" w:sz="4" w:space="0" w:color="auto"/>
            </w:tcBorders>
            <w:vAlign w:val="center"/>
          </w:tcPr>
          <w:p w:rsidR="001B5B29" w:rsidRPr="007B2B1E" w:rsidRDefault="001B5B29" w:rsidP="00836D3E">
            <w:pPr>
              <w:spacing w:line="276" w:lineRule="auto"/>
              <w:jc w:val="center"/>
              <w:rPr>
                <w:sz w:val="20"/>
                <w:szCs w:val="20"/>
              </w:rPr>
            </w:pPr>
            <w:r w:rsidRPr="007B2B1E">
              <w:rPr>
                <w:sz w:val="20"/>
                <w:szCs w:val="20"/>
              </w:rPr>
              <w:t>616</w:t>
            </w:r>
          </w:p>
        </w:tc>
      </w:tr>
      <w:tr w:rsidR="001B5B29" w:rsidTr="0065046B">
        <w:trPr>
          <w:trHeight w:val="459"/>
        </w:trPr>
        <w:tc>
          <w:tcPr>
            <w:tcW w:w="1818"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1B5B29" w:rsidP="00836D3E">
            <w:pPr>
              <w:spacing w:line="276" w:lineRule="auto"/>
              <w:jc w:val="center"/>
              <w:rPr>
                <w:b/>
                <w:sz w:val="20"/>
                <w:szCs w:val="20"/>
              </w:rPr>
            </w:pPr>
            <w:r w:rsidRPr="00017F3A">
              <w:rPr>
                <w:b/>
                <w:sz w:val="20"/>
                <w:szCs w:val="20"/>
              </w:rPr>
              <w:t>All Areas</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F76400" w:rsidP="00836D3E">
            <w:pPr>
              <w:spacing w:line="276" w:lineRule="auto"/>
              <w:jc w:val="center"/>
              <w:rPr>
                <w:b/>
                <w:sz w:val="20"/>
                <w:szCs w:val="20"/>
              </w:rPr>
            </w:pPr>
            <w:r w:rsidRPr="00017F3A">
              <w:rPr>
                <w:b/>
                <w:sz w:val="20"/>
                <w:szCs w:val="20"/>
              </w:rPr>
              <w:fldChar w:fldCharType="begin"/>
            </w:r>
            <w:r w:rsidR="001B5B29" w:rsidRPr="00017F3A">
              <w:rPr>
                <w:b/>
                <w:sz w:val="20"/>
                <w:szCs w:val="20"/>
              </w:rPr>
              <w:instrText xml:space="preserve"> =SUM(ABOVE) \# "#,##0" </w:instrText>
            </w:r>
            <w:r w:rsidRPr="00017F3A">
              <w:rPr>
                <w:b/>
                <w:sz w:val="20"/>
                <w:szCs w:val="20"/>
              </w:rPr>
              <w:fldChar w:fldCharType="separate"/>
            </w:r>
            <w:r w:rsidR="001B5B29" w:rsidRPr="00017F3A">
              <w:rPr>
                <w:b/>
                <w:noProof/>
                <w:sz w:val="20"/>
                <w:szCs w:val="20"/>
              </w:rPr>
              <w:t xml:space="preserve"> </w:t>
            </w:r>
            <w:r w:rsidR="001B5B29">
              <w:rPr>
                <w:b/>
                <w:noProof/>
                <w:sz w:val="20"/>
                <w:szCs w:val="20"/>
              </w:rPr>
              <w:t>479</w:t>
            </w:r>
            <w:r w:rsidRPr="00017F3A">
              <w:rPr>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F76400" w:rsidP="00836D3E">
            <w:pPr>
              <w:spacing w:line="276" w:lineRule="auto"/>
              <w:jc w:val="center"/>
              <w:rPr>
                <w:b/>
                <w:sz w:val="20"/>
                <w:szCs w:val="20"/>
              </w:rPr>
            </w:pPr>
            <w:r w:rsidRPr="00017F3A">
              <w:rPr>
                <w:b/>
                <w:sz w:val="20"/>
                <w:szCs w:val="20"/>
              </w:rPr>
              <w:fldChar w:fldCharType="begin"/>
            </w:r>
            <w:r w:rsidR="001B5B29" w:rsidRPr="00017F3A">
              <w:rPr>
                <w:b/>
                <w:sz w:val="20"/>
                <w:szCs w:val="20"/>
              </w:rPr>
              <w:instrText xml:space="preserve"> =SUM(ABOVE) \# "#,##0" </w:instrText>
            </w:r>
            <w:r w:rsidRPr="00017F3A">
              <w:rPr>
                <w:b/>
                <w:sz w:val="20"/>
                <w:szCs w:val="20"/>
              </w:rPr>
              <w:fldChar w:fldCharType="separate"/>
            </w:r>
            <w:r w:rsidR="001B5B29" w:rsidRPr="00017F3A">
              <w:rPr>
                <w:b/>
                <w:noProof/>
                <w:sz w:val="20"/>
                <w:szCs w:val="20"/>
              </w:rPr>
              <w:t xml:space="preserve"> </w:t>
            </w:r>
            <w:r w:rsidR="001B5B29">
              <w:rPr>
                <w:b/>
                <w:noProof/>
                <w:sz w:val="20"/>
                <w:szCs w:val="20"/>
              </w:rPr>
              <w:t>986</w:t>
            </w:r>
            <w:r w:rsidRPr="00017F3A">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F76400" w:rsidP="00836D3E">
            <w:pPr>
              <w:spacing w:line="276" w:lineRule="auto"/>
              <w:jc w:val="center"/>
              <w:rPr>
                <w:b/>
                <w:sz w:val="20"/>
                <w:szCs w:val="20"/>
              </w:rPr>
            </w:pPr>
            <w:r w:rsidRPr="00017F3A">
              <w:rPr>
                <w:b/>
                <w:sz w:val="20"/>
                <w:szCs w:val="20"/>
              </w:rPr>
              <w:fldChar w:fldCharType="begin"/>
            </w:r>
            <w:r w:rsidR="001B5B29" w:rsidRPr="00017F3A">
              <w:rPr>
                <w:b/>
                <w:sz w:val="20"/>
                <w:szCs w:val="20"/>
              </w:rPr>
              <w:instrText xml:space="preserve"> =SUM(ABOVE) \# "#,##0" </w:instrText>
            </w:r>
            <w:r w:rsidRPr="00017F3A">
              <w:rPr>
                <w:b/>
                <w:sz w:val="20"/>
                <w:szCs w:val="20"/>
              </w:rPr>
              <w:fldChar w:fldCharType="separate"/>
            </w:r>
            <w:r w:rsidR="001B5B29" w:rsidRPr="00017F3A">
              <w:rPr>
                <w:b/>
                <w:noProof/>
                <w:sz w:val="20"/>
                <w:szCs w:val="20"/>
              </w:rPr>
              <w:t xml:space="preserve"> 5</w:t>
            </w:r>
            <w:r w:rsidR="001B5B29">
              <w:rPr>
                <w:b/>
                <w:noProof/>
                <w:sz w:val="20"/>
                <w:szCs w:val="20"/>
              </w:rPr>
              <w:t>81</w:t>
            </w:r>
            <w:r w:rsidRPr="00017F3A">
              <w:rPr>
                <w:b/>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F76400" w:rsidP="00836D3E">
            <w:pPr>
              <w:spacing w:line="276" w:lineRule="auto"/>
              <w:jc w:val="center"/>
              <w:rPr>
                <w:b/>
                <w:sz w:val="20"/>
                <w:szCs w:val="20"/>
              </w:rPr>
            </w:pPr>
            <w:r w:rsidRPr="00017F3A">
              <w:rPr>
                <w:b/>
                <w:sz w:val="20"/>
                <w:szCs w:val="20"/>
              </w:rPr>
              <w:fldChar w:fldCharType="begin"/>
            </w:r>
            <w:r w:rsidR="001B5B29" w:rsidRPr="00017F3A">
              <w:rPr>
                <w:b/>
                <w:sz w:val="20"/>
                <w:szCs w:val="20"/>
              </w:rPr>
              <w:instrText xml:space="preserve"> =SUM(ABOVE) \# "#,##0" </w:instrText>
            </w:r>
            <w:r w:rsidRPr="00017F3A">
              <w:rPr>
                <w:b/>
                <w:sz w:val="20"/>
                <w:szCs w:val="20"/>
              </w:rPr>
              <w:fldChar w:fldCharType="separate"/>
            </w:r>
            <w:r w:rsidR="001B5B29" w:rsidRPr="00017F3A">
              <w:rPr>
                <w:b/>
                <w:noProof/>
                <w:sz w:val="20"/>
                <w:szCs w:val="20"/>
              </w:rPr>
              <w:t xml:space="preserve">  </w:t>
            </w:r>
            <w:r w:rsidR="001B5B29">
              <w:rPr>
                <w:b/>
                <w:noProof/>
                <w:sz w:val="20"/>
                <w:szCs w:val="20"/>
              </w:rPr>
              <w:t>79</w:t>
            </w:r>
            <w:r w:rsidRPr="00017F3A">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F76400" w:rsidP="00836D3E">
            <w:pPr>
              <w:spacing w:line="276" w:lineRule="auto"/>
              <w:jc w:val="center"/>
              <w:rPr>
                <w:b/>
                <w:sz w:val="20"/>
                <w:szCs w:val="20"/>
              </w:rPr>
            </w:pPr>
            <w:r w:rsidRPr="00017F3A">
              <w:rPr>
                <w:b/>
                <w:sz w:val="20"/>
                <w:szCs w:val="20"/>
              </w:rPr>
              <w:fldChar w:fldCharType="begin"/>
            </w:r>
            <w:r w:rsidR="001B5B29" w:rsidRPr="00017F3A">
              <w:rPr>
                <w:b/>
                <w:sz w:val="20"/>
                <w:szCs w:val="20"/>
              </w:rPr>
              <w:instrText xml:space="preserve"> =SUM(ABOVE) \# "#,##0" </w:instrText>
            </w:r>
            <w:r w:rsidRPr="00017F3A">
              <w:rPr>
                <w:b/>
                <w:sz w:val="20"/>
                <w:szCs w:val="20"/>
              </w:rPr>
              <w:fldChar w:fldCharType="separate"/>
            </w:r>
            <w:r w:rsidR="001B5B29" w:rsidRPr="00017F3A">
              <w:rPr>
                <w:b/>
                <w:noProof/>
                <w:sz w:val="20"/>
                <w:szCs w:val="20"/>
              </w:rPr>
              <w:t xml:space="preserve">  </w:t>
            </w:r>
            <w:r w:rsidR="001B5B29">
              <w:rPr>
                <w:b/>
                <w:noProof/>
                <w:sz w:val="20"/>
                <w:szCs w:val="20"/>
              </w:rPr>
              <w:t>24</w:t>
            </w:r>
            <w:r w:rsidRPr="00017F3A">
              <w:rPr>
                <w:b/>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rsidR="001B5B29" w:rsidRPr="00017F3A" w:rsidRDefault="00F76400" w:rsidP="00836D3E">
            <w:pPr>
              <w:spacing w:line="276" w:lineRule="auto"/>
              <w:jc w:val="center"/>
              <w:rPr>
                <w:b/>
                <w:sz w:val="20"/>
                <w:szCs w:val="20"/>
              </w:rPr>
            </w:pPr>
            <w:r w:rsidRPr="00017F3A">
              <w:rPr>
                <w:b/>
                <w:sz w:val="20"/>
                <w:szCs w:val="20"/>
              </w:rPr>
              <w:fldChar w:fldCharType="begin"/>
            </w:r>
            <w:r w:rsidR="001B5B29" w:rsidRPr="00017F3A">
              <w:rPr>
                <w:b/>
                <w:sz w:val="20"/>
                <w:szCs w:val="20"/>
              </w:rPr>
              <w:instrText xml:space="preserve"> =SUM(ABOVE) \# "#,##0" </w:instrText>
            </w:r>
            <w:r w:rsidRPr="00017F3A">
              <w:rPr>
                <w:b/>
                <w:sz w:val="20"/>
                <w:szCs w:val="20"/>
              </w:rPr>
              <w:fldChar w:fldCharType="separate"/>
            </w:r>
            <w:r w:rsidR="001B5B29" w:rsidRPr="00017F3A">
              <w:rPr>
                <w:b/>
                <w:noProof/>
                <w:sz w:val="20"/>
                <w:szCs w:val="20"/>
              </w:rPr>
              <w:t xml:space="preserve">   </w:t>
            </w:r>
            <w:r w:rsidR="001B5B29">
              <w:rPr>
                <w:b/>
                <w:noProof/>
                <w:sz w:val="20"/>
                <w:szCs w:val="20"/>
              </w:rPr>
              <w:t>16</w:t>
            </w:r>
            <w:r w:rsidRPr="00017F3A">
              <w:rPr>
                <w:b/>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B5B29" w:rsidRPr="007B2B1E" w:rsidRDefault="001B5B29" w:rsidP="00836D3E">
            <w:pPr>
              <w:spacing w:line="276" w:lineRule="auto"/>
              <w:jc w:val="center"/>
              <w:rPr>
                <w:b/>
                <w:sz w:val="20"/>
                <w:szCs w:val="20"/>
              </w:rPr>
            </w:pPr>
            <w:r w:rsidRPr="007B2B1E">
              <w:rPr>
                <w:b/>
                <w:sz w:val="20"/>
                <w:szCs w:val="20"/>
              </w:rPr>
              <w:t>2,165</w:t>
            </w:r>
          </w:p>
        </w:tc>
      </w:tr>
    </w:tbl>
    <w:p w:rsidR="00D8476D" w:rsidRDefault="00D8476D" w:rsidP="00D90DFD">
      <w:pPr>
        <w:spacing w:after="0"/>
        <w:jc w:val="center"/>
        <w:rPr>
          <w:b/>
          <w:sz w:val="24"/>
          <w:szCs w:val="24"/>
        </w:rPr>
      </w:pPr>
    </w:p>
    <w:p w:rsidR="00AB0424" w:rsidRDefault="00D8476D" w:rsidP="00AB0424">
      <w:pPr>
        <w:spacing w:after="0"/>
        <w:jc w:val="center"/>
        <w:rPr>
          <w:b/>
          <w:sz w:val="24"/>
          <w:szCs w:val="24"/>
        </w:rPr>
      </w:pPr>
      <w:r>
        <w:rPr>
          <w:b/>
          <w:sz w:val="24"/>
          <w:szCs w:val="24"/>
        </w:rPr>
        <w:br w:type="page"/>
      </w:r>
      <w:r w:rsidR="00AB0424">
        <w:rPr>
          <w:b/>
          <w:sz w:val="24"/>
          <w:szCs w:val="24"/>
        </w:rPr>
        <w:lastRenderedPageBreak/>
        <w:t>HOUSING</w:t>
      </w:r>
      <w:r w:rsidR="00AB0424" w:rsidRPr="00331333">
        <w:rPr>
          <w:b/>
          <w:sz w:val="24"/>
          <w:szCs w:val="24"/>
        </w:rPr>
        <w:t xml:space="preserve"> </w:t>
      </w:r>
    </w:p>
    <w:p w:rsidR="00AB0424" w:rsidRDefault="00AB0424" w:rsidP="00AB0424">
      <w:pPr>
        <w:spacing w:after="0"/>
        <w:jc w:val="center"/>
        <w:rPr>
          <w:sz w:val="24"/>
          <w:szCs w:val="24"/>
        </w:rPr>
      </w:pPr>
      <w:r>
        <w:rPr>
          <w:b/>
          <w:sz w:val="24"/>
          <w:szCs w:val="24"/>
          <w:u w:val="thick"/>
        </w:rPr>
        <w:t>____________________________________________________</w:t>
      </w:r>
    </w:p>
    <w:p w:rsidR="00AB0424" w:rsidRDefault="00AB0424" w:rsidP="00AB0424">
      <w:pPr>
        <w:spacing w:after="0"/>
        <w:rPr>
          <w:b/>
          <w:u w:val="single"/>
        </w:rPr>
      </w:pPr>
    </w:p>
    <w:p w:rsidR="0014572B" w:rsidRDefault="0014572B" w:rsidP="00AB0424">
      <w:pPr>
        <w:spacing w:after="0"/>
        <w:rPr>
          <w:b/>
          <w:u w:val="single"/>
        </w:rPr>
      </w:pPr>
    </w:p>
    <w:p w:rsidR="005B0D79" w:rsidRPr="001D707D" w:rsidRDefault="005B0D79" w:rsidP="00AB0424">
      <w:pPr>
        <w:spacing w:after="0"/>
        <w:rPr>
          <w:b/>
          <w:u w:val="single"/>
        </w:rPr>
      </w:pPr>
      <w:r w:rsidRPr="001D707D">
        <w:rPr>
          <w:b/>
          <w:u w:val="single"/>
        </w:rPr>
        <w:t>Permanent Supportive Housing (PSH) - Rule 145 (Administratively changed from 150)</w:t>
      </w:r>
    </w:p>
    <w:p w:rsidR="005B0D79" w:rsidRDefault="005B0D79" w:rsidP="00AB0424">
      <w:pPr>
        <w:spacing w:after="0"/>
      </w:pPr>
      <w:r w:rsidRPr="004C6989">
        <w:t>Rule 145</w:t>
      </w:r>
      <w:r>
        <w:t xml:space="preserve"> is still very much active in the Bureau of Administrative Rules and Procedures.   As recently as April 20, 2015, the dilemma raised by the Bureau is that the Rule is not ground in legislation.  The attempt to align this Rule with the Williams Consent Decree was proven to be inconsistent, since the PSH model encompasses individuals who are not Williams </w:t>
      </w:r>
      <w:r w:rsidR="00944086">
        <w:t>Class Members</w:t>
      </w:r>
      <w:r>
        <w:t xml:space="preserve">, and the model was implemented two years before the Consent Decree was signed.  Thus, the challenge for the Bureau is how to make this Rule come into fruition when it is not the result of legislation.  </w:t>
      </w:r>
    </w:p>
    <w:p w:rsidR="001D707D" w:rsidRDefault="001D707D" w:rsidP="00C04E27">
      <w:pPr>
        <w:spacing w:after="0"/>
      </w:pPr>
    </w:p>
    <w:p w:rsidR="002F6EC5" w:rsidRPr="00730B4A" w:rsidRDefault="001D707D" w:rsidP="001D707D">
      <w:r w:rsidRPr="00730B4A">
        <w:rPr>
          <w:b/>
          <w:u w:val="single"/>
        </w:rPr>
        <w:t>Rule 140 – Supervised Residential Rule</w:t>
      </w:r>
      <w:r w:rsidR="0040272F" w:rsidRPr="00730B4A">
        <w:t xml:space="preserve">    </w:t>
      </w:r>
    </w:p>
    <w:p w:rsidR="001D707D" w:rsidRPr="0040272F" w:rsidRDefault="002F6EC5" w:rsidP="001D707D">
      <w:r w:rsidRPr="00730B4A">
        <w:t>The rule is suspended until further notice</w:t>
      </w:r>
      <w:r w:rsidR="00730B4A">
        <w:t>.</w:t>
      </w:r>
    </w:p>
    <w:p w:rsidR="005B0D79" w:rsidRDefault="005B0D79" w:rsidP="003E1912">
      <w:pPr>
        <w:spacing w:after="0" w:line="240" w:lineRule="auto"/>
        <w:jc w:val="both"/>
        <w:rPr>
          <w:u w:val="single"/>
        </w:rPr>
      </w:pPr>
    </w:p>
    <w:p w:rsidR="00C23472" w:rsidRPr="00C23472" w:rsidRDefault="00C23472" w:rsidP="00C23472">
      <w:pPr>
        <w:autoSpaceDE w:val="0"/>
        <w:autoSpaceDN w:val="0"/>
        <w:adjustRightInd w:val="0"/>
        <w:spacing w:after="0" w:line="225" w:lineRule="exact"/>
        <w:ind w:left="40" w:right="-20"/>
        <w:rPr>
          <w:rFonts w:ascii="Calibri" w:hAnsi="Calibri" w:cs="Calibri"/>
        </w:rPr>
      </w:pPr>
      <w:r>
        <w:rPr>
          <w:rFonts w:ascii="Calibri" w:hAnsi="Calibri" w:cs="Calibri"/>
          <w:b/>
          <w:bCs/>
          <w:position w:val="1"/>
          <w:u w:val="single"/>
        </w:rPr>
        <w:t>P</w:t>
      </w:r>
      <w:r>
        <w:rPr>
          <w:rFonts w:ascii="Calibri" w:hAnsi="Calibri" w:cs="Calibri"/>
          <w:b/>
          <w:bCs/>
          <w:spacing w:val="1"/>
          <w:position w:val="1"/>
          <w:u w:val="single"/>
        </w:rPr>
        <w:t>r</w:t>
      </w:r>
      <w:r>
        <w:rPr>
          <w:rFonts w:ascii="Calibri" w:hAnsi="Calibri" w:cs="Calibri"/>
          <w:b/>
          <w:bCs/>
          <w:spacing w:val="-1"/>
          <w:position w:val="1"/>
          <w:u w:val="single"/>
        </w:rPr>
        <w:t>o</w:t>
      </w:r>
      <w:r>
        <w:rPr>
          <w:rFonts w:ascii="Calibri" w:hAnsi="Calibri" w:cs="Calibri"/>
          <w:b/>
          <w:bCs/>
          <w:spacing w:val="1"/>
          <w:position w:val="1"/>
          <w:u w:val="single"/>
        </w:rPr>
        <w:t>j</w:t>
      </w:r>
      <w:r>
        <w:rPr>
          <w:rFonts w:ascii="Calibri" w:hAnsi="Calibri" w:cs="Calibri"/>
          <w:b/>
          <w:bCs/>
          <w:spacing w:val="-1"/>
          <w:position w:val="1"/>
          <w:u w:val="single"/>
        </w:rPr>
        <w:t>ec</w:t>
      </w:r>
      <w:r>
        <w:rPr>
          <w:rFonts w:ascii="Calibri" w:hAnsi="Calibri" w:cs="Calibri"/>
          <w:b/>
          <w:bCs/>
          <w:spacing w:val="1"/>
          <w:position w:val="1"/>
          <w:u w:val="single"/>
        </w:rPr>
        <w:t>t</w:t>
      </w:r>
      <w:r>
        <w:rPr>
          <w:rFonts w:ascii="Calibri" w:hAnsi="Calibri" w:cs="Calibri"/>
          <w:b/>
          <w:bCs/>
          <w:position w:val="1"/>
          <w:u w:val="single"/>
        </w:rPr>
        <w:t>-</w:t>
      </w:r>
      <w:r>
        <w:rPr>
          <w:rFonts w:ascii="Calibri" w:hAnsi="Calibri" w:cs="Calibri"/>
          <w:b/>
          <w:bCs/>
          <w:spacing w:val="1"/>
          <w:position w:val="1"/>
          <w:u w:val="single"/>
        </w:rPr>
        <w:t>B</w:t>
      </w:r>
      <w:r>
        <w:rPr>
          <w:rFonts w:ascii="Calibri" w:hAnsi="Calibri" w:cs="Calibri"/>
          <w:b/>
          <w:bCs/>
          <w:spacing w:val="-1"/>
          <w:position w:val="1"/>
          <w:u w:val="single"/>
        </w:rPr>
        <w:t>a</w:t>
      </w:r>
      <w:r>
        <w:rPr>
          <w:rFonts w:ascii="Calibri" w:hAnsi="Calibri" w:cs="Calibri"/>
          <w:b/>
          <w:bCs/>
          <w:position w:val="1"/>
          <w:u w:val="single"/>
        </w:rPr>
        <w:t>s</w:t>
      </w:r>
      <w:r>
        <w:rPr>
          <w:rFonts w:ascii="Calibri" w:hAnsi="Calibri" w:cs="Calibri"/>
          <w:b/>
          <w:bCs/>
          <w:spacing w:val="-1"/>
          <w:position w:val="1"/>
          <w:u w:val="single"/>
        </w:rPr>
        <w:t>e</w:t>
      </w:r>
      <w:r>
        <w:rPr>
          <w:rFonts w:ascii="Calibri" w:hAnsi="Calibri" w:cs="Calibri"/>
          <w:b/>
          <w:bCs/>
          <w:spacing w:val="-3"/>
          <w:position w:val="1"/>
          <w:u w:val="single"/>
        </w:rPr>
        <w:t>d</w:t>
      </w:r>
      <w:r>
        <w:rPr>
          <w:rFonts w:ascii="Calibri" w:hAnsi="Calibri" w:cs="Calibri"/>
          <w:b/>
          <w:bCs/>
          <w:spacing w:val="1"/>
          <w:position w:val="1"/>
          <w:u w:val="single"/>
        </w:rPr>
        <w:t>/</w:t>
      </w:r>
      <w:r>
        <w:rPr>
          <w:rFonts w:ascii="Calibri" w:hAnsi="Calibri" w:cs="Calibri"/>
          <w:b/>
          <w:bCs/>
          <w:spacing w:val="-2"/>
          <w:position w:val="1"/>
          <w:u w:val="single"/>
        </w:rPr>
        <w:t>C</w:t>
      </w:r>
      <w:r>
        <w:rPr>
          <w:rFonts w:ascii="Calibri" w:hAnsi="Calibri" w:cs="Calibri"/>
          <w:b/>
          <w:bCs/>
          <w:spacing w:val="1"/>
          <w:position w:val="1"/>
          <w:u w:val="single"/>
        </w:rPr>
        <w:t>l</w:t>
      </w:r>
      <w:r>
        <w:rPr>
          <w:rFonts w:ascii="Calibri" w:hAnsi="Calibri" w:cs="Calibri"/>
          <w:b/>
          <w:bCs/>
          <w:spacing w:val="-1"/>
          <w:position w:val="1"/>
          <w:u w:val="single"/>
        </w:rPr>
        <w:t>u</w:t>
      </w:r>
      <w:r>
        <w:rPr>
          <w:rFonts w:ascii="Calibri" w:hAnsi="Calibri" w:cs="Calibri"/>
          <w:b/>
          <w:bCs/>
          <w:position w:val="1"/>
          <w:u w:val="single"/>
        </w:rPr>
        <w:t>ster</w:t>
      </w:r>
      <w:r>
        <w:rPr>
          <w:rFonts w:ascii="Calibri" w:hAnsi="Calibri" w:cs="Calibri"/>
          <w:b/>
          <w:bCs/>
          <w:spacing w:val="-2"/>
          <w:position w:val="1"/>
          <w:u w:val="single"/>
        </w:rPr>
        <w:t xml:space="preserve"> </w:t>
      </w:r>
      <w:r>
        <w:rPr>
          <w:rFonts w:ascii="Calibri" w:hAnsi="Calibri" w:cs="Calibri"/>
          <w:b/>
          <w:bCs/>
          <w:position w:val="1"/>
          <w:u w:val="single"/>
        </w:rPr>
        <w:t>M</w:t>
      </w:r>
      <w:r>
        <w:rPr>
          <w:rFonts w:ascii="Calibri" w:hAnsi="Calibri" w:cs="Calibri"/>
          <w:b/>
          <w:bCs/>
          <w:spacing w:val="-2"/>
          <w:position w:val="1"/>
          <w:u w:val="single"/>
        </w:rPr>
        <w:t>o</w:t>
      </w:r>
      <w:r>
        <w:rPr>
          <w:rFonts w:ascii="Calibri" w:hAnsi="Calibri" w:cs="Calibri"/>
          <w:b/>
          <w:bCs/>
          <w:spacing w:val="-1"/>
          <w:position w:val="1"/>
          <w:u w:val="single"/>
        </w:rPr>
        <w:t>de</w:t>
      </w:r>
      <w:r>
        <w:rPr>
          <w:rFonts w:ascii="Calibri" w:hAnsi="Calibri" w:cs="Calibri"/>
          <w:b/>
          <w:bCs/>
          <w:position w:val="1"/>
          <w:u w:val="single"/>
        </w:rPr>
        <w:t>l</w:t>
      </w:r>
      <w:r>
        <w:rPr>
          <w:rFonts w:ascii="Calibri" w:hAnsi="Calibri" w:cs="Calibri"/>
          <w:b/>
          <w:bCs/>
          <w:spacing w:val="1"/>
          <w:position w:val="1"/>
          <w:u w:val="single"/>
        </w:rPr>
        <w:t xml:space="preserve"> </w:t>
      </w:r>
      <w:r>
        <w:rPr>
          <w:rFonts w:ascii="Calibri" w:hAnsi="Calibri" w:cs="Calibri"/>
          <w:b/>
          <w:bCs/>
          <w:position w:val="1"/>
          <w:u w:val="single"/>
        </w:rPr>
        <w:t>H</w:t>
      </w:r>
      <w:r>
        <w:rPr>
          <w:rFonts w:ascii="Calibri" w:hAnsi="Calibri" w:cs="Calibri"/>
          <w:b/>
          <w:bCs/>
          <w:spacing w:val="-1"/>
          <w:position w:val="1"/>
          <w:u w:val="single"/>
        </w:rPr>
        <w:t>ou</w:t>
      </w:r>
      <w:r>
        <w:rPr>
          <w:rFonts w:ascii="Calibri" w:hAnsi="Calibri" w:cs="Calibri"/>
          <w:b/>
          <w:bCs/>
          <w:position w:val="1"/>
          <w:u w:val="single"/>
        </w:rPr>
        <w:t>s</w:t>
      </w:r>
      <w:r>
        <w:rPr>
          <w:rFonts w:ascii="Calibri" w:hAnsi="Calibri" w:cs="Calibri"/>
          <w:b/>
          <w:bCs/>
          <w:spacing w:val="1"/>
          <w:position w:val="1"/>
          <w:u w:val="single"/>
        </w:rPr>
        <w:t>i</w:t>
      </w:r>
      <w:r>
        <w:rPr>
          <w:rFonts w:ascii="Calibri" w:hAnsi="Calibri" w:cs="Calibri"/>
          <w:b/>
          <w:bCs/>
          <w:spacing w:val="-1"/>
          <w:position w:val="1"/>
          <w:u w:val="single"/>
        </w:rPr>
        <w:t>n</w:t>
      </w:r>
      <w:r>
        <w:rPr>
          <w:rFonts w:ascii="Calibri" w:hAnsi="Calibri" w:cs="Calibri"/>
          <w:b/>
          <w:bCs/>
          <w:position w:val="1"/>
          <w:u w:val="single"/>
        </w:rPr>
        <w:t xml:space="preserve">g    </w:t>
      </w:r>
    </w:p>
    <w:p w:rsidR="00D70194" w:rsidRDefault="00D70194" w:rsidP="00C23472">
      <w:pPr>
        <w:autoSpaceDE w:val="0"/>
        <w:autoSpaceDN w:val="0"/>
        <w:adjustRightInd w:val="0"/>
        <w:spacing w:before="16" w:after="0"/>
        <w:ind w:left="40" w:right="134"/>
        <w:rPr>
          <w:rFonts w:ascii="Calibri" w:hAnsi="Calibri" w:cs="Calibri"/>
        </w:rPr>
      </w:pPr>
    </w:p>
    <w:p w:rsidR="00D70194" w:rsidRPr="00186E3F" w:rsidRDefault="00D70194" w:rsidP="00D70194">
      <w:pPr>
        <w:rPr>
          <w:u w:val="single"/>
        </w:rPr>
      </w:pPr>
      <w:r w:rsidRPr="00186E3F">
        <w:rPr>
          <w:u w:val="single"/>
        </w:rPr>
        <w:t>Thresholds Bryn Mawr Apartments</w:t>
      </w:r>
    </w:p>
    <w:p w:rsidR="003F4BBA" w:rsidRDefault="00D70194" w:rsidP="00C23472">
      <w:pPr>
        <w:autoSpaceDE w:val="0"/>
        <w:autoSpaceDN w:val="0"/>
        <w:adjustRightInd w:val="0"/>
        <w:spacing w:before="16" w:after="0"/>
        <w:ind w:left="40" w:right="134"/>
        <w:rPr>
          <w:rFonts w:ascii="Calibri" w:hAnsi="Calibri" w:cs="Calibri"/>
          <w:spacing w:val="3"/>
        </w:rPr>
      </w:pPr>
      <w:r>
        <w:rPr>
          <w:rFonts w:ascii="Calibri" w:hAnsi="Calibri" w:cs="Calibri"/>
        </w:rPr>
        <w:t>I</w:t>
      </w:r>
      <w:r w:rsidR="00C23472">
        <w:rPr>
          <w:rFonts w:ascii="Calibri" w:hAnsi="Calibri" w:cs="Calibri"/>
        </w:rPr>
        <w:t>n</w:t>
      </w:r>
      <w:r w:rsidR="00C23472">
        <w:rPr>
          <w:rFonts w:ascii="Calibri" w:hAnsi="Calibri" w:cs="Calibri"/>
          <w:spacing w:val="-1"/>
        </w:rPr>
        <w:t xml:space="preserve"> </w:t>
      </w:r>
      <w:r w:rsidR="00C23472">
        <w:rPr>
          <w:rFonts w:ascii="Calibri" w:hAnsi="Calibri" w:cs="Calibri"/>
          <w:spacing w:val="1"/>
        </w:rPr>
        <w:t>M</w:t>
      </w:r>
      <w:r w:rsidR="00C23472">
        <w:rPr>
          <w:rFonts w:ascii="Calibri" w:hAnsi="Calibri" w:cs="Calibri"/>
        </w:rPr>
        <w:t>arc</w:t>
      </w:r>
      <w:r w:rsidR="00C23472">
        <w:rPr>
          <w:rFonts w:ascii="Calibri" w:hAnsi="Calibri" w:cs="Calibri"/>
          <w:spacing w:val="-1"/>
        </w:rPr>
        <w:t>h</w:t>
      </w:r>
      <w:r w:rsidR="00C23472">
        <w:rPr>
          <w:rFonts w:ascii="Calibri" w:hAnsi="Calibri" w:cs="Calibri"/>
        </w:rPr>
        <w:t>,</w:t>
      </w:r>
      <w:r w:rsidR="00C23472">
        <w:rPr>
          <w:rFonts w:ascii="Calibri" w:hAnsi="Calibri" w:cs="Calibri"/>
          <w:spacing w:val="-2"/>
        </w:rPr>
        <w:t xml:space="preserve"> </w:t>
      </w:r>
      <w:r w:rsidR="00C23472">
        <w:rPr>
          <w:rFonts w:ascii="Calibri" w:hAnsi="Calibri" w:cs="Calibri"/>
          <w:spacing w:val="1"/>
        </w:rPr>
        <w:t>2</w:t>
      </w:r>
      <w:r w:rsidR="00C23472">
        <w:rPr>
          <w:rFonts w:ascii="Calibri" w:hAnsi="Calibri" w:cs="Calibri"/>
          <w:spacing w:val="-2"/>
        </w:rPr>
        <w:t>0</w:t>
      </w:r>
      <w:r w:rsidR="00C23472">
        <w:rPr>
          <w:rFonts w:ascii="Calibri" w:hAnsi="Calibri" w:cs="Calibri"/>
          <w:spacing w:val="1"/>
        </w:rPr>
        <w:t>1</w:t>
      </w:r>
      <w:r w:rsidR="00C23472">
        <w:rPr>
          <w:rFonts w:ascii="Calibri" w:hAnsi="Calibri" w:cs="Calibri"/>
          <w:spacing w:val="-2"/>
        </w:rPr>
        <w:t>4</w:t>
      </w:r>
      <w:r w:rsidR="00C23472">
        <w:rPr>
          <w:rFonts w:ascii="Calibri" w:hAnsi="Calibri" w:cs="Calibri"/>
        </w:rPr>
        <w:t xml:space="preserve">, </w:t>
      </w:r>
      <w:r w:rsidR="00C23472">
        <w:rPr>
          <w:rFonts w:ascii="Calibri" w:hAnsi="Calibri" w:cs="Calibri"/>
          <w:spacing w:val="1"/>
        </w:rPr>
        <w:t>T</w:t>
      </w:r>
      <w:r w:rsidR="00C23472">
        <w:rPr>
          <w:rFonts w:ascii="Calibri" w:hAnsi="Calibri" w:cs="Calibri"/>
          <w:spacing w:val="-1"/>
        </w:rPr>
        <w:t>h</w:t>
      </w:r>
      <w:r w:rsidR="00C23472">
        <w:rPr>
          <w:rFonts w:ascii="Calibri" w:hAnsi="Calibri" w:cs="Calibri"/>
        </w:rPr>
        <w:t>e</w:t>
      </w:r>
      <w:r w:rsidR="00C23472">
        <w:rPr>
          <w:rFonts w:ascii="Calibri" w:hAnsi="Calibri" w:cs="Calibri"/>
          <w:spacing w:val="-2"/>
        </w:rPr>
        <w:t xml:space="preserve"> </w:t>
      </w:r>
      <w:r w:rsidR="00C23472">
        <w:rPr>
          <w:rFonts w:ascii="Calibri" w:hAnsi="Calibri" w:cs="Calibri"/>
        </w:rPr>
        <w:t>Sta</w:t>
      </w:r>
      <w:r w:rsidR="00C23472">
        <w:rPr>
          <w:rFonts w:ascii="Calibri" w:hAnsi="Calibri" w:cs="Calibri"/>
          <w:spacing w:val="-2"/>
        </w:rPr>
        <w:t>te</w:t>
      </w:r>
      <w:r w:rsidR="00C23472">
        <w:rPr>
          <w:rFonts w:ascii="Calibri" w:hAnsi="Calibri" w:cs="Calibri"/>
        </w:rPr>
        <w:t>wide H</w:t>
      </w:r>
      <w:r w:rsidR="00C23472">
        <w:rPr>
          <w:rFonts w:ascii="Calibri" w:hAnsi="Calibri" w:cs="Calibri"/>
          <w:spacing w:val="1"/>
        </w:rPr>
        <w:t>o</w:t>
      </w:r>
      <w:r w:rsidR="00C23472">
        <w:rPr>
          <w:rFonts w:ascii="Calibri" w:hAnsi="Calibri" w:cs="Calibri"/>
          <w:spacing w:val="-1"/>
        </w:rPr>
        <w:t>u</w:t>
      </w:r>
      <w:r w:rsidR="00C23472">
        <w:rPr>
          <w:rFonts w:ascii="Calibri" w:hAnsi="Calibri" w:cs="Calibri"/>
        </w:rPr>
        <w:t>si</w:t>
      </w:r>
      <w:r w:rsidR="00C23472">
        <w:rPr>
          <w:rFonts w:ascii="Calibri" w:hAnsi="Calibri" w:cs="Calibri"/>
          <w:spacing w:val="-1"/>
        </w:rPr>
        <w:t>n</w:t>
      </w:r>
      <w:r w:rsidR="00C23472">
        <w:rPr>
          <w:rFonts w:ascii="Calibri" w:hAnsi="Calibri" w:cs="Calibri"/>
        </w:rPr>
        <w:t>g</w:t>
      </w:r>
      <w:r w:rsidR="00C23472">
        <w:rPr>
          <w:rFonts w:ascii="Calibri" w:hAnsi="Calibri" w:cs="Calibri"/>
          <w:spacing w:val="-1"/>
        </w:rPr>
        <w:t xml:space="preserve"> </w:t>
      </w:r>
      <w:r w:rsidR="00C23472">
        <w:rPr>
          <w:rFonts w:ascii="Calibri" w:hAnsi="Calibri" w:cs="Calibri"/>
          <w:spacing w:val="-2"/>
        </w:rPr>
        <w:t>C</w:t>
      </w:r>
      <w:r w:rsidR="00C23472">
        <w:rPr>
          <w:rFonts w:ascii="Calibri" w:hAnsi="Calibri" w:cs="Calibri"/>
          <w:spacing w:val="-1"/>
        </w:rPr>
        <w:t>o</w:t>
      </w:r>
      <w:r w:rsidR="00C23472">
        <w:rPr>
          <w:rFonts w:ascii="Calibri" w:hAnsi="Calibri" w:cs="Calibri"/>
          <w:spacing w:val="1"/>
        </w:rPr>
        <w:t>o</w:t>
      </w:r>
      <w:r w:rsidR="00C23472">
        <w:rPr>
          <w:rFonts w:ascii="Calibri" w:hAnsi="Calibri" w:cs="Calibri"/>
        </w:rPr>
        <w:t>r</w:t>
      </w:r>
      <w:r w:rsidR="00C23472">
        <w:rPr>
          <w:rFonts w:ascii="Calibri" w:hAnsi="Calibri" w:cs="Calibri"/>
          <w:spacing w:val="-1"/>
        </w:rPr>
        <w:t>d</w:t>
      </w:r>
      <w:r w:rsidR="00C23472">
        <w:rPr>
          <w:rFonts w:ascii="Calibri" w:hAnsi="Calibri" w:cs="Calibri"/>
        </w:rPr>
        <w:t>i</w:t>
      </w:r>
      <w:r w:rsidR="00C23472">
        <w:rPr>
          <w:rFonts w:ascii="Calibri" w:hAnsi="Calibri" w:cs="Calibri"/>
          <w:spacing w:val="-1"/>
        </w:rPr>
        <w:t>n</w:t>
      </w:r>
      <w:r w:rsidR="00C23472">
        <w:rPr>
          <w:rFonts w:ascii="Calibri" w:hAnsi="Calibri" w:cs="Calibri"/>
        </w:rPr>
        <w:t>a</w:t>
      </w:r>
      <w:r w:rsidR="00C23472">
        <w:rPr>
          <w:rFonts w:ascii="Calibri" w:hAnsi="Calibri" w:cs="Calibri"/>
          <w:spacing w:val="-2"/>
        </w:rPr>
        <w:t>t</w:t>
      </w:r>
      <w:r w:rsidR="00C23472">
        <w:rPr>
          <w:rFonts w:ascii="Calibri" w:hAnsi="Calibri" w:cs="Calibri"/>
          <w:spacing w:val="1"/>
        </w:rPr>
        <w:t>o</w:t>
      </w:r>
      <w:r w:rsidR="00C23472">
        <w:rPr>
          <w:rFonts w:ascii="Calibri" w:hAnsi="Calibri" w:cs="Calibri"/>
        </w:rPr>
        <w:t>rs (S</w:t>
      </w:r>
      <w:r w:rsidR="00C23472">
        <w:rPr>
          <w:rFonts w:ascii="Calibri" w:hAnsi="Calibri" w:cs="Calibri"/>
          <w:spacing w:val="-1"/>
        </w:rPr>
        <w:t>H</w:t>
      </w:r>
      <w:r w:rsidR="00C23472">
        <w:rPr>
          <w:rFonts w:ascii="Calibri" w:hAnsi="Calibri" w:cs="Calibri"/>
        </w:rPr>
        <w:t>C)</w:t>
      </w:r>
      <w:r w:rsidR="00C23472">
        <w:rPr>
          <w:rFonts w:ascii="Calibri" w:hAnsi="Calibri" w:cs="Calibri"/>
          <w:spacing w:val="1"/>
        </w:rPr>
        <w:t xml:space="preserve"> </w:t>
      </w:r>
      <w:r w:rsidR="00C23472">
        <w:rPr>
          <w:rFonts w:ascii="Calibri" w:hAnsi="Calibri" w:cs="Calibri"/>
        </w:rPr>
        <w:t>a</w:t>
      </w:r>
      <w:r w:rsidR="00C23472">
        <w:rPr>
          <w:rFonts w:ascii="Calibri" w:hAnsi="Calibri" w:cs="Calibri"/>
          <w:spacing w:val="-1"/>
        </w:rPr>
        <w:t>n</w:t>
      </w:r>
      <w:r w:rsidR="00C23472">
        <w:rPr>
          <w:rFonts w:ascii="Calibri" w:hAnsi="Calibri" w:cs="Calibri"/>
        </w:rPr>
        <w:t>d</w:t>
      </w:r>
      <w:r w:rsidR="00C23472">
        <w:rPr>
          <w:rFonts w:ascii="Calibri" w:hAnsi="Calibri" w:cs="Calibri"/>
          <w:spacing w:val="-1"/>
        </w:rPr>
        <w:t xml:space="preserve"> D</w:t>
      </w:r>
      <w:r w:rsidR="00C23472">
        <w:rPr>
          <w:rFonts w:ascii="Calibri" w:hAnsi="Calibri" w:cs="Calibri"/>
          <w:spacing w:val="1"/>
        </w:rPr>
        <w:t>M</w:t>
      </w:r>
      <w:r w:rsidR="00C23472">
        <w:rPr>
          <w:rFonts w:ascii="Calibri" w:hAnsi="Calibri" w:cs="Calibri"/>
        </w:rPr>
        <w:t xml:space="preserve">H </w:t>
      </w:r>
      <w:r w:rsidR="00C23472">
        <w:rPr>
          <w:rFonts w:ascii="Calibri" w:hAnsi="Calibri" w:cs="Calibri"/>
          <w:spacing w:val="-2"/>
        </w:rPr>
        <w:t>c</w:t>
      </w:r>
      <w:r w:rsidR="00C23472">
        <w:rPr>
          <w:rFonts w:ascii="Calibri" w:hAnsi="Calibri" w:cs="Calibri"/>
        </w:rPr>
        <w:t>rea</w:t>
      </w:r>
      <w:r w:rsidR="00C23472">
        <w:rPr>
          <w:rFonts w:ascii="Calibri" w:hAnsi="Calibri" w:cs="Calibri"/>
          <w:spacing w:val="-2"/>
        </w:rPr>
        <w:t>t</w:t>
      </w:r>
      <w:r w:rsidR="00C23472">
        <w:rPr>
          <w:rFonts w:ascii="Calibri" w:hAnsi="Calibri" w:cs="Calibri"/>
        </w:rPr>
        <w:t>ed t</w:t>
      </w:r>
      <w:r w:rsidR="00C23472">
        <w:rPr>
          <w:rFonts w:ascii="Calibri" w:hAnsi="Calibri" w:cs="Calibri"/>
          <w:spacing w:val="-3"/>
        </w:rPr>
        <w:t>h</w:t>
      </w:r>
      <w:r w:rsidR="00C23472">
        <w:rPr>
          <w:rFonts w:ascii="Calibri" w:hAnsi="Calibri" w:cs="Calibri"/>
        </w:rPr>
        <w:t>e</w:t>
      </w:r>
      <w:r w:rsidR="00C23472">
        <w:rPr>
          <w:rFonts w:ascii="Calibri" w:hAnsi="Calibri" w:cs="Calibri"/>
          <w:spacing w:val="1"/>
        </w:rPr>
        <w:t xml:space="preserve"> </w:t>
      </w:r>
      <w:r w:rsidR="00C23472">
        <w:rPr>
          <w:rFonts w:ascii="Calibri" w:hAnsi="Calibri" w:cs="Calibri"/>
        </w:rPr>
        <w:t>Willi</w:t>
      </w:r>
      <w:r w:rsidR="00C23472">
        <w:rPr>
          <w:rFonts w:ascii="Calibri" w:hAnsi="Calibri" w:cs="Calibri"/>
          <w:spacing w:val="-3"/>
        </w:rPr>
        <w:t>a</w:t>
      </w:r>
      <w:r w:rsidR="00C23472">
        <w:rPr>
          <w:rFonts w:ascii="Calibri" w:hAnsi="Calibri" w:cs="Calibri"/>
          <w:spacing w:val="1"/>
        </w:rPr>
        <w:t>m</w:t>
      </w:r>
      <w:r w:rsidR="00C23472">
        <w:rPr>
          <w:rFonts w:ascii="Calibri" w:hAnsi="Calibri" w:cs="Calibri"/>
        </w:rPr>
        <w:t xml:space="preserve">s </w:t>
      </w:r>
      <w:r w:rsidR="00C23472">
        <w:rPr>
          <w:rFonts w:ascii="Calibri" w:hAnsi="Calibri" w:cs="Calibri"/>
          <w:spacing w:val="-2"/>
        </w:rPr>
        <w:t>C</w:t>
      </w:r>
      <w:r w:rsidR="00C23472">
        <w:rPr>
          <w:rFonts w:ascii="Calibri" w:hAnsi="Calibri" w:cs="Calibri"/>
          <w:spacing w:val="1"/>
        </w:rPr>
        <w:t>o</w:t>
      </w:r>
      <w:r w:rsidR="00C23472">
        <w:rPr>
          <w:rFonts w:ascii="Calibri" w:hAnsi="Calibri" w:cs="Calibri"/>
          <w:spacing w:val="-1"/>
        </w:rPr>
        <w:t>n</w:t>
      </w:r>
      <w:r w:rsidR="00C23472">
        <w:rPr>
          <w:rFonts w:ascii="Calibri" w:hAnsi="Calibri" w:cs="Calibri"/>
        </w:rPr>
        <w:t xml:space="preserve">sent </w:t>
      </w:r>
      <w:r w:rsidR="00C23472">
        <w:rPr>
          <w:rFonts w:ascii="Calibri" w:hAnsi="Calibri" w:cs="Calibri"/>
          <w:spacing w:val="1"/>
        </w:rPr>
        <w:t>D</w:t>
      </w:r>
      <w:r w:rsidR="00C23472">
        <w:rPr>
          <w:rFonts w:ascii="Calibri" w:hAnsi="Calibri" w:cs="Calibri"/>
        </w:rPr>
        <w:t>ec</w:t>
      </w:r>
      <w:r w:rsidR="00C23472">
        <w:rPr>
          <w:rFonts w:ascii="Calibri" w:hAnsi="Calibri" w:cs="Calibri"/>
          <w:spacing w:val="-2"/>
        </w:rPr>
        <w:t>r</w:t>
      </w:r>
      <w:r w:rsidR="00C23472">
        <w:rPr>
          <w:rFonts w:ascii="Calibri" w:hAnsi="Calibri" w:cs="Calibri"/>
        </w:rPr>
        <w:t>ee</w:t>
      </w:r>
      <w:r w:rsidR="00C23472">
        <w:rPr>
          <w:rFonts w:ascii="Calibri" w:hAnsi="Calibri" w:cs="Calibri"/>
          <w:spacing w:val="2"/>
        </w:rPr>
        <w:t xml:space="preserve"> </w:t>
      </w:r>
      <w:r w:rsidR="00C23472">
        <w:rPr>
          <w:rFonts w:ascii="Calibri" w:hAnsi="Calibri" w:cs="Calibri"/>
          <w:spacing w:val="-1"/>
        </w:rPr>
        <w:t>p</w:t>
      </w:r>
      <w:r w:rsidR="00C23472">
        <w:rPr>
          <w:rFonts w:ascii="Calibri" w:hAnsi="Calibri" w:cs="Calibri"/>
        </w:rPr>
        <w:t>i</w:t>
      </w:r>
      <w:r w:rsidR="00C23472">
        <w:rPr>
          <w:rFonts w:ascii="Calibri" w:hAnsi="Calibri" w:cs="Calibri"/>
          <w:spacing w:val="-3"/>
        </w:rPr>
        <w:t>l</w:t>
      </w:r>
      <w:r w:rsidR="00C23472">
        <w:rPr>
          <w:rFonts w:ascii="Calibri" w:hAnsi="Calibri" w:cs="Calibri"/>
          <w:spacing w:val="1"/>
        </w:rPr>
        <w:t>o</w:t>
      </w:r>
      <w:r w:rsidR="00C23472">
        <w:rPr>
          <w:rFonts w:ascii="Calibri" w:hAnsi="Calibri" w:cs="Calibri"/>
        </w:rPr>
        <w:t>t</w:t>
      </w:r>
      <w:r w:rsidR="00C23472">
        <w:rPr>
          <w:rFonts w:ascii="Calibri" w:hAnsi="Calibri" w:cs="Calibri"/>
          <w:spacing w:val="1"/>
        </w:rPr>
        <w:t xml:space="preserve"> </w:t>
      </w:r>
      <w:r w:rsidR="00C23472">
        <w:rPr>
          <w:rFonts w:ascii="Calibri" w:hAnsi="Calibri" w:cs="Calibri"/>
        </w:rPr>
        <w:t>Cl</w:t>
      </w:r>
      <w:r w:rsidR="00C23472">
        <w:rPr>
          <w:rFonts w:ascii="Calibri" w:hAnsi="Calibri" w:cs="Calibri"/>
          <w:spacing w:val="-1"/>
        </w:rPr>
        <w:t>u</w:t>
      </w:r>
      <w:r w:rsidR="00C23472">
        <w:rPr>
          <w:rFonts w:ascii="Calibri" w:hAnsi="Calibri" w:cs="Calibri"/>
          <w:spacing w:val="-2"/>
        </w:rPr>
        <w:t>s</w:t>
      </w:r>
      <w:r w:rsidR="00C23472">
        <w:rPr>
          <w:rFonts w:ascii="Calibri" w:hAnsi="Calibri" w:cs="Calibri"/>
        </w:rPr>
        <w:t>t</w:t>
      </w:r>
      <w:r w:rsidR="00C23472">
        <w:rPr>
          <w:rFonts w:ascii="Calibri" w:hAnsi="Calibri" w:cs="Calibri"/>
          <w:spacing w:val="1"/>
        </w:rPr>
        <w:t>e</w:t>
      </w:r>
      <w:r w:rsidR="00C23472">
        <w:rPr>
          <w:rFonts w:ascii="Calibri" w:hAnsi="Calibri" w:cs="Calibri"/>
        </w:rPr>
        <w:t>red</w:t>
      </w:r>
      <w:r w:rsidR="00C23472">
        <w:rPr>
          <w:rFonts w:ascii="Calibri" w:hAnsi="Calibri" w:cs="Calibri"/>
          <w:spacing w:val="-3"/>
        </w:rPr>
        <w:t xml:space="preserve"> </w:t>
      </w:r>
      <w:r w:rsidR="00C23472">
        <w:rPr>
          <w:rFonts w:ascii="Calibri" w:hAnsi="Calibri" w:cs="Calibri"/>
        </w:rPr>
        <w:t>H</w:t>
      </w:r>
      <w:r w:rsidR="00C23472">
        <w:rPr>
          <w:rFonts w:ascii="Calibri" w:hAnsi="Calibri" w:cs="Calibri"/>
          <w:spacing w:val="1"/>
        </w:rPr>
        <w:t>o</w:t>
      </w:r>
      <w:r w:rsidR="00C23472">
        <w:rPr>
          <w:rFonts w:ascii="Calibri" w:hAnsi="Calibri" w:cs="Calibri"/>
          <w:spacing w:val="-3"/>
        </w:rPr>
        <w:t>u</w:t>
      </w:r>
      <w:r w:rsidR="00C23472">
        <w:rPr>
          <w:rFonts w:ascii="Calibri" w:hAnsi="Calibri" w:cs="Calibri"/>
        </w:rPr>
        <w:t>si</w:t>
      </w:r>
      <w:r w:rsidR="00C23472">
        <w:rPr>
          <w:rFonts w:ascii="Calibri" w:hAnsi="Calibri" w:cs="Calibri"/>
          <w:spacing w:val="-1"/>
        </w:rPr>
        <w:t>n</w:t>
      </w:r>
      <w:r w:rsidR="00C23472">
        <w:rPr>
          <w:rFonts w:ascii="Calibri" w:hAnsi="Calibri" w:cs="Calibri"/>
        </w:rPr>
        <w:t>g</w:t>
      </w:r>
      <w:r w:rsidR="00C23472">
        <w:rPr>
          <w:rFonts w:ascii="Calibri" w:hAnsi="Calibri" w:cs="Calibri"/>
          <w:spacing w:val="-1"/>
        </w:rPr>
        <w:t xml:space="preserve"> </w:t>
      </w:r>
      <w:r w:rsidR="00C23472">
        <w:rPr>
          <w:rFonts w:ascii="Calibri" w:hAnsi="Calibri" w:cs="Calibri"/>
          <w:spacing w:val="2"/>
        </w:rPr>
        <w:t>m</w:t>
      </w:r>
      <w:r w:rsidR="00C23472">
        <w:rPr>
          <w:rFonts w:ascii="Calibri" w:hAnsi="Calibri" w:cs="Calibri"/>
          <w:spacing w:val="1"/>
        </w:rPr>
        <w:t>o</w:t>
      </w:r>
      <w:r w:rsidR="00C23472">
        <w:rPr>
          <w:rFonts w:ascii="Calibri" w:hAnsi="Calibri" w:cs="Calibri"/>
          <w:spacing w:val="-3"/>
        </w:rPr>
        <w:t>d</w:t>
      </w:r>
      <w:r w:rsidR="00C23472">
        <w:rPr>
          <w:rFonts w:ascii="Calibri" w:hAnsi="Calibri" w:cs="Calibri"/>
        </w:rPr>
        <w:t xml:space="preserve">el </w:t>
      </w:r>
      <w:r w:rsidR="00C23472">
        <w:rPr>
          <w:rFonts w:ascii="Calibri" w:hAnsi="Calibri" w:cs="Calibri"/>
          <w:spacing w:val="-2"/>
        </w:rPr>
        <w:t>f</w:t>
      </w:r>
      <w:r w:rsidR="00C23472">
        <w:rPr>
          <w:rFonts w:ascii="Calibri" w:hAnsi="Calibri" w:cs="Calibri"/>
          <w:spacing w:val="1"/>
        </w:rPr>
        <w:t>o</w:t>
      </w:r>
      <w:r w:rsidR="00C23472">
        <w:rPr>
          <w:rFonts w:ascii="Calibri" w:hAnsi="Calibri" w:cs="Calibri"/>
        </w:rPr>
        <w:t>r per</w:t>
      </w:r>
      <w:r w:rsidR="00C23472">
        <w:rPr>
          <w:rFonts w:ascii="Calibri" w:hAnsi="Calibri" w:cs="Calibri"/>
          <w:spacing w:val="-3"/>
        </w:rPr>
        <w:t>s</w:t>
      </w:r>
      <w:r w:rsidR="00C23472">
        <w:rPr>
          <w:rFonts w:ascii="Calibri" w:hAnsi="Calibri" w:cs="Calibri"/>
          <w:spacing w:val="1"/>
        </w:rPr>
        <w:t>o</w:t>
      </w:r>
      <w:r w:rsidR="00C23472">
        <w:rPr>
          <w:rFonts w:ascii="Calibri" w:hAnsi="Calibri" w:cs="Calibri"/>
          <w:spacing w:val="-1"/>
        </w:rPr>
        <w:t>n</w:t>
      </w:r>
      <w:r w:rsidR="00C23472">
        <w:rPr>
          <w:rFonts w:ascii="Calibri" w:hAnsi="Calibri" w:cs="Calibri"/>
        </w:rPr>
        <w:t>s</w:t>
      </w:r>
      <w:r w:rsidR="00C23472">
        <w:rPr>
          <w:rFonts w:ascii="Calibri" w:hAnsi="Calibri" w:cs="Calibri"/>
          <w:spacing w:val="-2"/>
        </w:rPr>
        <w:t xml:space="preserve"> </w:t>
      </w:r>
      <w:r w:rsidR="00C23472">
        <w:rPr>
          <w:rFonts w:ascii="Calibri" w:hAnsi="Calibri" w:cs="Calibri"/>
        </w:rPr>
        <w:t>w</w:t>
      </w:r>
      <w:r w:rsidR="00C23472">
        <w:rPr>
          <w:rFonts w:ascii="Calibri" w:hAnsi="Calibri" w:cs="Calibri"/>
          <w:spacing w:val="-3"/>
        </w:rPr>
        <w:t>h</w:t>
      </w:r>
      <w:r w:rsidR="00C23472">
        <w:rPr>
          <w:rFonts w:ascii="Calibri" w:hAnsi="Calibri" w:cs="Calibri"/>
        </w:rPr>
        <w:t>o</w:t>
      </w:r>
      <w:r w:rsidR="00C23472">
        <w:rPr>
          <w:rFonts w:ascii="Calibri" w:hAnsi="Calibri" w:cs="Calibri"/>
          <w:spacing w:val="1"/>
        </w:rPr>
        <w:t xml:space="preserve"> </w:t>
      </w:r>
      <w:r w:rsidR="00C23472">
        <w:rPr>
          <w:rFonts w:ascii="Calibri" w:hAnsi="Calibri" w:cs="Calibri"/>
          <w:spacing w:val="-1"/>
        </w:rPr>
        <w:t>w</w:t>
      </w:r>
      <w:r w:rsidR="00C23472">
        <w:rPr>
          <w:rFonts w:ascii="Calibri" w:hAnsi="Calibri" w:cs="Calibri"/>
        </w:rPr>
        <w:t>ere</w:t>
      </w:r>
      <w:r w:rsidR="00C23472">
        <w:rPr>
          <w:rFonts w:ascii="Calibri" w:hAnsi="Calibri" w:cs="Calibri"/>
          <w:spacing w:val="4"/>
        </w:rPr>
        <w:t xml:space="preserve"> </w:t>
      </w:r>
      <w:r w:rsidR="00C23472">
        <w:rPr>
          <w:rFonts w:ascii="Calibri" w:hAnsi="Calibri" w:cs="Calibri"/>
          <w:spacing w:val="-1"/>
        </w:rPr>
        <w:t>p</w:t>
      </w:r>
      <w:r w:rsidR="00C23472">
        <w:rPr>
          <w:rFonts w:ascii="Calibri" w:hAnsi="Calibri" w:cs="Calibri"/>
          <w:spacing w:val="-3"/>
        </w:rPr>
        <w:t>r</w:t>
      </w:r>
      <w:r w:rsidR="00C23472">
        <w:rPr>
          <w:rFonts w:ascii="Calibri" w:hAnsi="Calibri" w:cs="Calibri"/>
        </w:rPr>
        <w:t>e</w:t>
      </w:r>
      <w:r w:rsidR="00C23472">
        <w:rPr>
          <w:rFonts w:ascii="Calibri" w:hAnsi="Calibri" w:cs="Calibri"/>
          <w:spacing w:val="1"/>
        </w:rPr>
        <w:t>v</w:t>
      </w:r>
      <w:r w:rsidR="00C23472">
        <w:rPr>
          <w:rFonts w:ascii="Calibri" w:hAnsi="Calibri" w:cs="Calibri"/>
          <w:spacing w:val="-3"/>
        </w:rPr>
        <w:t>i</w:t>
      </w:r>
      <w:r w:rsidR="00C23472">
        <w:rPr>
          <w:rFonts w:ascii="Calibri" w:hAnsi="Calibri" w:cs="Calibri"/>
          <w:spacing w:val="1"/>
        </w:rPr>
        <w:t>o</w:t>
      </w:r>
      <w:r w:rsidR="00C23472">
        <w:rPr>
          <w:rFonts w:ascii="Calibri" w:hAnsi="Calibri" w:cs="Calibri"/>
          <w:spacing w:val="-1"/>
        </w:rPr>
        <w:t>u</w:t>
      </w:r>
      <w:r w:rsidR="00C23472">
        <w:rPr>
          <w:rFonts w:ascii="Calibri" w:hAnsi="Calibri" w:cs="Calibri"/>
        </w:rPr>
        <w:t>sly</w:t>
      </w:r>
      <w:r w:rsidR="00C23472">
        <w:rPr>
          <w:rFonts w:ascii="Calibri" w:hAnsi="Calibri" w:cs="Calibri"/>
          <w:spacing w:val="-2"/>
        </w:rPr>
        <w:t xml:space="preserve"> </w:t>
      </w:r>
      <w:r w:rsidR="00C23472">
        <w:rPr>
          <w:rFonts w:ascii="Calibri" w:hAnsi="Calibri" w:cs="Calibri"/>
          <w:spacing w:val="1"/>
        </w:rPr>
        <w:t>a</w:t>
      </w:r>
      <w:r w:rsidR="00C23472">
        <w:rPr>
          <w:rFonts w:ascii="Calibri" w:hAnsi="Calibri" w:cs="Calibri"/>
        </w:rPr>
        <w:t>ss</w:t>
      </w:r>
      <w:r w:rsidR="00C23472">
        <w:rPr>
          <w:rFonts w:ascii="Calibri" w:hAnsi="Calibri" w:cs="Calibri"/>
          <w:spacing w:val="-2"/>
        </w:rPr>
        <w:t>e</w:t>
      </w:r>
      <w:r w:rsidR="00C23472">
        <w:rPr>
          <w:rFonts w:ascii="Calibri" w:hAnsi="Calibri" w:cs="Calibri"/>
        </w:rPr>
        <w:t>ssed</w:t>
      </w:r>
      <w:r w:rsidR="00C23472">
        <w:rPr>
          <w:rFonts w:ascii="Calibri" w:hAnsi="Calibri" w:cs="Calibri"/>
          <w:spacing w:val="-2"/>
        </w:rPr>
        <w:t xml:space="preserve"> </w:t>
      </w:r>
      <w:r w:rsidR="00C23472">
        <w:rPr>
          <w:rFonts w:ascii="Calibri" w:hAnsi="Calibri" w:cs="Calibri"/>
        </w:rPr>
        <w:t>as</w:t>
      </w:r>
      <w:r w:rsidR="00C23472">
        <w:rPr>
          <w:rFonts w:ascii="Calibri" w:hAnsi="Calibri" w:cs="Calibri"/>
          <w:spacing w:val="1"/>
        </w:rPr>
        <w:t xml:space="preserve"> </w:t>
      </w:r>
      <w:r w:rsidR="00C23472">
        <w:rPr>
          <w:rFonts w:ascii="Calibri" w:hAnsi="Calibri" w:cs="Calibri"/>
          <w:spacing w:val="-1"/>
        </w:rPr>
        <w:t>b</w:t>
      </w:r>
      <w:r w:rsidR="00C23472">
        <w:rPr>
          <w:rFonts w:ascii="Calibri" w:hAnsi="Calibri" w:cs="Calibri"/>
        </w:rPr>
        <w:t>ei</w:t>
      </w:r>
      <w:r w:rsidR="00C23472">
        <w:rPr>
          <w:rFonts w:ascii="Calibri" w:hAnsi="Calibri" w:cs="Calibri"/>
          <w:spacing w:val="-1"/>
        </w:rPr>
        <w:t>n</w:t>
      </w:r>
      <w:r w:rsidR="00C23472">
        <w:rPr>
          <w:rFonts w:ascii="Calibri" w:hAnsi="Calibri" w:cs="Calibri"/>
        </w:rPr>
        <w:t>g</w:t>
      </w:r>
      <w:r w:rsidR="00C23472">
        <w:rPr>
          <w:rFonts w:ascii="Calibri" w:hAnsi="Calibri" w:cs="Calibri"/>
          <w:spacing w:val="-3"/>
        </w:rPr>
        <w:t xml:space="preserve"> </w:t>
      </w:r>
      <w:r w:rsidR="00C23472">
        <w:rPr>
          <w:rFonts w:ascii="Calibri" w:hAnsi="Calibri" w:cs="Calibri"/>
          <w:spacing w:val="2"/>
        </w:rPr>
        <w:t>“</w:t>
      </w:r>
      <w:r w:rsidR="00C23472">
        <w:rPr>
          <w:rFonts w:ascii="Calibri" w:hAnsi="Calibri" w:cs="Calibri"/>
        </w:rPr>
        <w:t>U</w:t>
      </w:r>
      <w:r w:rsidR="00C23472">
        <w:rPr>
          <w:rFonts w:ascii="Calibri" w:hAnsi="Calibri" w:cs="Calibri"/>
          <w:spacing w:val="-1"/>
        </w:rPr>
        <w:t>n</w:t>
      </w:r>
      <w:r w:rsidR="00C23472">
        <w:rPr>
          <w:rFonts w:ascii="Calibri" w:hAnsi="Calibri" w:cs="Calibri"/>
        </w:rPr>
        <w:t>a</w:t>
      </w:r>
      <w:r w:rsidR="00C23472">
        <w:rPr>
          <w:rFonts w:ascii="Calibri" w:hAnsi="Calibri" w:cs="Calibri"/>
          <w:spacing w:val="-1"/>
        </w:rPr>
        <w:t>b</w:t>
      </w:r>
      <w:r w:rsidR="00C23472">
        <w:rPr>
          <w:rFonts w:ascii="Calibri" w:hAnsi="Calibri" w:cs="Calibri"/>
        </w:rPr>
        <w:t xml:space="preserve">le </w:t>
      </w:r>
      <w:r w:rsidR="00C23472">
        <w:rPr>
          <w:rFonts w:ascii="Calibri" w:hAnsi="Calibri" w:cs="Calibri"/>
          <w:spacing w:val="-1"/>
        </w:rPr>
        <w:t>t</w:t>
      </w:r>
      <w:r w:rsidR="00C23472">
        <w:rPr>
          <w:rFonts w:ascii="Calibri" w:hAnsi="Calibri" w:cs="Calibri"/>
        </w:rPr>
        <w:t xml:space="preserve">o </w:t>
      </w:r>
      <w:r w:rsidR="00C23472">
        <w:rPr>
          <w:rFonts w:ascii="Calibri" w:hAnsi="Calibri" w:cs="Calibri"/>
          <w:spacing w:val="-1"/>
        </w:rPr>
        <w:t>S</w:t>
      </w:r>
      <w:r w:rsidR="00C23472">
        <w:rPr>
          <w:rFonts w:ascii="Calibri" w:hAnsi="Calibri" w:cs="Calibri"/>
        </w:rPr>
        <w:t>er</w:t>
      </w:r>
      <w:r w:rsidR="00C23472">
        <w:rPr>
          <w:rFonts w:ascii="Calibri" w:hAnsi="Calibri" w:cs="Calibri"/>
          <w:spacing w:val="1"/>
        </w:rPr>
        <w:t>v</w:t>
      </w:r>
      <w:r w:rsidR="00C23472">
        <w:rPr>
          <w:rFonts w:ascii="Calibri" w:hAnsi="Calibri" w:cs="Calibri"/>
        </w:rPr>
        <w:t>e</w:t>
      </w:r>
      <w:r w:rsidR="00C23472">
        <w:rPr>
          <w:rFonts w:ascii="Calibri" w:hAnsi="Calibri" w:cs="Calibri"/>
          <w:spacing w:val="-2"/>
        </w:rPr>
        <w:t>.</w:t>
      </w:r>
      <w:r w:rsidR="00C23472">
        <w:rPr>
          <w:rFonts w:ascii="Calibri" w:hAnsi="Calibri" w:cs="Calibri"/>
        </w:rPr>
        <w:t xml:space="preserve">” </w:t>
      </w:r>
      <w:r w:rsidR="00C23472">
        <w:rPr>
          <w:rFonts w:ascii="Calibri" w:hAnsi="Calibri" w:cs="Calibri"/>
          <w:spacing w:val="50"/>
        </w:rPr>
        <w:t xml:space="preserve"> </w:t>
      </w:r>
      <w:r w:rsidR="00C23472">
        <w:rPr>
          <w:rFonts w:ascii="Calibri" w:hAnsi="Calibri" w:cs="Calibri"/>
          <w:spacing w:val="1"/>
        </w:rPr>
        <w:t>T</w:t>
      </w:r>
      <w:r w:rsidR="00C23472">
        <w:rPr>
          <w:rFonts w:ascii="Calibri" w:hAnsi="Calibri" w:cs="Calibri"/>
          <w:spacing w:val="-2"/>
        </w:rPr>
        <w:t>w</w:t>
      </w:r>
      <w:r w:rsidR="00C23472">
        <w:rPr>
          <w:rFonts w:ascii="Calibri" w:hAnsi="Calibri" w:cs="Calibri"/>
        </w:rPr>
        <w:t xml:space="preserve">enty </w:t>
      </w:r>
      <w:r w:rsidR="00944086">
        <w:rPr>
          <w:rFonts w:ascii="Calibri" w:hAnsi="Calibri" w:cs="Calibri"/>
        </w:rPr>
        <w:t>Class Members</w:t>
      </w:r>
      <w:r w:rsidR="00C23472">
        <w:rPr>
          <w:rFonts w:ascii="Calibri" w:hAnsi="Calibri" w:cs="Calibri"/>
          <w:spacing w:val="-2"/>
        </w:rPr>
        <w:t xml:space="preserve"> </w:t>
      </w:r>
      <w:r w:rsidR="00C23472">
        <w:rPr>
          <w:rFonts w:ascii="Calibri" w:hAnsi="Calibri" w:cs="Calibri"/>
        </w:rPr>
        <w:t>cu</w:t>
      </w:r>
      <w:r w:rsidR="00C23472">
        <w:rPr>
          <w:rFonts w:ascii="Calibri" w:hAnsi="Calibri" w:cs="Calibri"/>
          <w:spacing w:val="-1"/>
        </w:rPr>
        <w:t>r</w:t>
      </w:r>
      <w:r w:rsidR="00C23472">
        <w:rPr>
          <w:rFonts w:ascii="Calibri" w:hAnsi="Calibri" w:cs="Calibri"/>
        </w:rPr>
        <w:t>rent</w:t>
      </w:r>
      <w:r w:rsidR="00C23472">
        <w:rPr>
          <w:rFonts w:ascii="Calibri" w:hAnsi="Calibri" w:cs="Calibri"/>
          <w:spacing w:val="-3"/>
        </w:rPr>
        <w:t>l</w:t>
      </w:r>
      <w:r w:rsidR="00C23472">
        <w:rPr>
          <w:rFonts w:ascii="Calibri" w:hAnsi="Calibri" w:cs="Calibri"/>
        </w:rPr>
        <w:t>y</w:t>
      </w:r>
      <w:r w:rsidR="00C23472">
        <w:rPr>
          <w:rFonts w:ascii="Calibri" w:hAnsi="Calibri" w:cs="Calibri"/>
          <w:spacing w:val="1"/>
        </w:rPr>
        <w:t xml:space="preserve"> </w:t>
      </w:r>
      <w:r w:rsidR="00C23472">
        <w:rPr>
          <w:rFonts w:ascii="Calibri" w:hAnsi="Calibri" w:cs="Calibri"/>
        </w:rPr>
        <w:t>li</w:t>
      </w:r>
      <w:r w:rsidR="00C23472">
        <w:rPr>
          <w:rFonts w:ascii="Calibri" w:hAnsi="Calibri" w:cs="Calibri"/>
          <w:spacing w:val="-1"/>
        </w:rPr>
        <w:t>v</w:t>
      </w:r>
      <w:r w:rsidR="00C23472">
        <w:rPr>
          <w:rFonts w:ascii="Calibri" w:hAnsi="Calibri" w:cs="Calibri"/>
        </w:rPr>
        <w:t>e</w:t>
      </w:r>
      <w:r w:rsidR="00C23472">
        <w:rPr>
          <w:rFonts w:ascii="Calibri" w:hAnsi="Calibri" w:cs="Calibri"/>
          <w:spacing w:val="1"/>
        </w:rPr>
        <w:t xml:space="preserve"> </w:t>
      </w:r>
      <w:r w:rsidR="00C23472">
        <w:rPr>
          <w:rFonts w:ascii="Calibri" w:hAnsi="Calibri" w:cs="Calibri"/>
        </w:rPr>
        <w:t>in</w:t>
      </w:r>
      <w:r w:rsidR="00C23472">
        <w:rPr>
          <w:rFonts w:ascii="Calibri" w:hAnsi="Calibri" w:cs="Calibri"/>
          <w:spacing w:val="-1"/>
        </w:rPr>
        <w:t xml:space="preserve"> </w:t>
      </w:r>
      <w:r w:rsidR="00C23472">
        <w:rPr>
          <w:rFonts w:ascii="Calibri" w:hAnsi="Calibri" w:cs="Calibri"/>
        </w:rPr>
        <w:t>s</w:t>
      </w:r>
      <w:r w:rsidR="00C23472">
        <w:rPr>
          <w:rFonts w:ascii="Calibri" w:hAnsi="Calibri" w:cs="Calibri"/>
          <w:spacing w:val="-2"/>
        </w:rPr>
        <w:t>c</w:t>
      </w:r>
      <w:r w:rsidR="00C23472">
        <w:rPr>
          <w:rFonts w:ascii="Calibri" w:hAnsi="Calibri" w:cs="Calibri"/>
        </w:rPr>
        <w:t>a</w:t>
      </w:r>
      <w:r w:rsidR="00C23472">
        <w:rPr>
          <w:rFonts w:ascii="Calibri" w:hAnsi="Calibri" w:cs="Calibri"/>
          <w:spacing w:val="-2"/>
        </w:rPr>
        <w:t>t</w:t>
      </w:r>
      <w:r w:rsidR="00C23472">
        <w:rPr>
          <w:rFonts w:ascii="Calibri" w:hAnsi="Calibri" w:cs="Calibri"/>
        </w:rPr>
        <w:t>t</w:t>
      </w:r>
      <w:r w:rsidR="00C23472">
        <w:rPr>
          <w:rFonts w:ascii="Calibri" w:hAnsi="Calibri" w:cs="Calibri"/>
          <w:spacing w:val="1"/>
        </w:rPr>
        <w:t>e</w:t>
      </w:r>
      <w:r w:rsidR="00C23472">
        <w:rPr>
          <w:rFonts w:ascii="Calibri" w:hAnsi="Calibri" w:cs="Calibri"/>
        </w:rPr>
        <w:t>red s</w:t>
      </w:r>
      <w:r w:rsidR="00C23472">
        <w:rPr>
          <w:rFonts w:ascii="Calibri" w:hAnsi="Calibri" w:cs="Calibri"/>
          <w:spacing w:val="-3"/>
        </w:rPr>
        <w:t>i</w:t>
      </w:r>
      <w:r w:rsidR="00C23472">
        <w:rPr>
          <w:rFonts w:ascii="Calibri" w:hAnsi="Calibri" w:cs="Calibri"/>
        </w:rPr>
        <w:t>t</w:t>
      </w:r>
      <w:r w:rsidR="00C23472">
        <w:rPr>
          <w:rFonts w:ascii="Calibri" w:hAnsi="Calibri" w:cs="Calibri"/>
          <w:spacing w:val="1"/>
        </w:rPr>
        <w:t>e</w:t>
      </w:r>
      <w:r w:rsidR="00C23472">
        <w:rPr>
          <w:rFonts w:ascii="Calibri" w:hAnsi="Calibri" w:cs="Calibri"/>
        </w:rPr>
        <w:t>,</w:t>
      </w:r>
      <w:r w:rsidR="00C23472">
        <w:rPr>
          <w:rFonts w:ascii="Calibri" w:hAnsi="Calibri" w:cs="Calibri"/>
          <w:spacing w:val="-2"/>
        </w:rPr>
        <w:t xml:space="preserve"> </w:t>
      </w:r>
      <w:r w:rsidR="00C23472">
        <w:rPr>
          <w:rFonts w:ascii="Calibri" w:hAnsi="Calibri" w:cs="Calibri"/>
        </w:rPr>
        <w:t>stu</w:t>
      </w:r>
      <w:r w:rsidR="00C23472">
        <w:rPr>
          <w:rFonts w:ascii="Calibri" w:hAnsi="Calibri" w:cs="Calibri"/>
          <w:spacing w:val="-1"/>
        </w:rPr>
        <w:t>d</w:t>
      </w:r>
      <w:r w:rsidR="00C23472">
        <w:rPr>
          <w:rFonts w:ascii="Calibri" w:hAnsi="Calibri" w:cs="Calibri"/>
        </w:rPr>
        <w:t>i</w:t>
      </w:r>
      <w:r w:rsidR="00C23472">
        <w:rPr>
          <w:rFonts w:ascii="Calibri" w:hAnsi="Calibri" w:cs="Calibri"/>
          <w:spacing w:val="2"/>
        </w:rPr>
        <w:t>o</w:t>
      </w:r>
      <w:r w:rsidR="00C23472">
        <w:rPr>
          <w:rFonts w:ascii="Calibri" w:hAnsi="Calibri" w:cs="Calibri"/>
        </w:rPr>
        <w:t>-si</w:t>
      </w:r>
      <w:r w:rsidR="00C23472">
        <w:rPr>
          <w:rFonts w:ascii="Calibri" w:hAnsi="Calibri" w:cs="Calibri"/>
          <w:spacing w:val="-1"/>
        </w:rPr>
        <w:t>z</w:t>
      </w:r>
      <w:r w:rsidR="00C23472">
        <w:rPr>
          <w:rFonts w:ascii="Calibri" w:hAnsi="Calibri" w:cs="Calibri"/>
        </w:rPr>
        <w:t>ed,</w:t>
      </w:r>
      <w:r w:rsidR="00C23472">
        <w:rPr>
          <w:rFonts w:ascii="Calibri" w:hAnsi="Calibri" w:cs="Calibri"/>
          <w:spacing w:val="-2"/>
        </w:rPr>
        <w:t xml:space="preserve"> </w:t>
      </w:r>
      <w:r w:rsidR="00C23472">
        <w:rPr>
          <w:rFonts w:ascii="Calibri" w:hAnsi="Calibri" w:cs="Calibri"/>
        </w:rPr>
        <w:t>su</w:t>
      </w:r>
      <w:r w:rsidR="00C23472">
        <w:rPr>
          <w:rFonts w:ascii="Calibri" w:hAnsi="Calibri" w:cs="Calibri"/>
          <w:spacing w:val="-1"/>
        </w:rPr>
        <w:t>pp</w:t>
      </w:r>
      <w:r w:rsidR="00C23472">
        <w:rPr>
          <w:rFonts w:ascii="Calibri" w:hAnsi="Calibri" w:cs="Calibri"/>
          <w:spacing w:val="1"/>
        </w:rPr>
        <w:t>o</w:t>
      </w:r>
      <w:r w:rsidR="00C23472">
        <w:rPr>
          <w:rFonts w:ascii="Calibri" w:hAnsi="Calibri" w:cs="Calibri"/>
        </w:rPr>
        <w:t>rti</w:t>
      </w:r>
      <w:r w:rsidR="00C23472">
        <w:rPr>
          <w:rFonts w:ascii="Calibri" w:hAnsi="Calibri" w:cs="Calibri"/>
          <w:spacing w:val="-1"/>
        </w:rPr>
        <w:t>v</w:t>
      </w:r>
      <w:r w:rsidR="00C23472">
        <w:rPr>
          <w:rFonts w:ascii="Calibri" w:hAnsi="Calibri" w:cs="Calibri"/>
        </w:rPr>
        <w:t>e</w:t>
      </w:r>
      <w:r w:rsidR="00C23472">
        <w:rPr>
          <w:rFonts w:ascii="Calibri" w:hAnsi="Calibri" w:cs="Calibri"/>
          <w:spacing w:val="1"/>
        </w:rPr>
        <w:t xml:space="preserve"> </w:t>
      </w:r>
      <w:r w:rsidR="00C23472">
        <w:rPr>
          <w:rFonts w:ascii="Calibri" w:hAnsi="Calibri" w:cs="Calibri"/>
          <w:spacing w:val="-3"/>
        </w:rPr>
        <w:t>h</w:t>
      </w:r>
      <w:r w:rsidR="00C23472">
        <w:rPr>
          <w:rFonts w:ascii="Calibri" w:hAnsi="Calibri" w:cs="Calibri"/>
          <w:spacing w:val="1"/>
        </w:rPr>
        <w:t>o</w:t>
      </w:r>
      <w:r w:rsidR="00C23472">
        <w:rPr>
          <w:rFonts w:ascii="Calibri" w:hAnsi="Calibri" w:cs="Calibri"/>
          <w:spacing w:val="-1"/>
        </w:rPr>
        <w:t>u</w:t>
      </w:r>
      <w:r w:rsidR="00C23472">
        <w:rPr>
          <w:rFonts w:ascii="Calibri" w:hAnsi="Calibri" w:cs="Calibri"/>
        </w:rPr>
        <w:t>si</w:t>
      </w:r>
      <w:r w:rsidR="00C23472">
        <w:rPr>
          <w:rFonts w:ascii="Calibri" w:hAnsi="Calibri" w:cs="Calibri"/>
          <w:spacing w:val="-1"/>
        </w:rPr>
        <w:t>n</w:t>
      </w:r>
      <w:r w:rsidR="00C23472">
        <w:rPr>
          <w:rFonts w:ascii="Calibri" w:hAnsi="Calibri" w:cs="Calibri"/>
        </w:rPr>
        <w:t>g</w:t>
      </w:r>
      <w:r w:rsidR="00C23472">
        <w:rPr>
          <w:rFonts w:ascii="Calibri" w:hAnsi="Calibri" w:cs="Calibri"/>
          <w:spacing w:val="-1"/>
        </w:rPr>
        <w:t xml:space="preserve"> </w:t>
      </w:r>
      <w:r w:rsidR="00C23472">
        <w:rPr>
          <w:rFonts w:ascii="Calibri" w:hAnsi="Calibri" w:cs="Calibri"/>
        </w:rPr>
        <w:t>u</w:t>
      </w:r>
      <w:r w:rsidR="00C23472">
        <w:rPr>
          <w:rFonts w:ascii="Calibri" w:hAnsi="Calibri" w:cs="Calibri"/>
          <w:spacing w:val="-1"/>
        </w:rPr>
        <w:t>n</w:t>
      </w:r>
      <w:r w:rsidR="00C23472">
        <w:rPr>
          <w:rFonts w:ascii="Calibri" w:hAnsi="Calibri" w:cs="Calibri"/>
        </w:rPr>
        <w:t>its at the Br</w:t>
      </w:r>
      <w:r w:rsidR="00C23472">
        <w:rPr>
          <w:rFonts w:ascii="Calibri" w:hAnsi="Calibri" w:cs="Calibri"/>
          <w:spacing w:val="1"/>
        </w:rPr>
        <w:t>y</w:t>
      </w:r>
      <w:r w:rsidR="00C23472">
        <w:rPr>
          <w:rFonts w:ascii="Calibri" w:hAnsi="Calibri" w:cs="Calibri"/>
        </w:rPr>
        <w:t>n</w:t>
      </w:r>
      <w:r w:rsidR="00C23472">
        <w:rPr>
          <w:rFonts w:ascii="Calibri" w:hAnsi="Calibri" w:cs="Calibri"/>
          <w:spacing w:val="-3"/>
        </w:rPr>
        <w:t xml:space="preserve"> </w:t>
      </w:r>
      <w:r w:rsidR="00C23472">
        <w:rPr>
          <w:rFonts w:ascii="Calibri" w:hAnsi="Calibri" w:cs="Calibri"/>
          <w:spacing w:val="1"/>
        </w:rPr>
        <w:t>M</w:t>
      </w:r>
      <w:r w:rsidR="00C23472">
        <w:rPr>
          <w:rFonts w:ascii="Calibri" w:hAnsi="Calibri" w:cs="Calibri"/>
          <w:spacing w:val="-3"/>
        </w:rPr>
        <w:t>a</w:t>
      </w:r>
      <w:r w:rsidR="00C23472">
        <w:rPr>
          <w:rFonts w:ascii="Calibri" w:hAnsi="Calibri" w:cs="Calibri"/>
        </w:rPr>
        <w:t>wr</w:t>
      </w:r>
      <w:r w:rsidR="00C23472">
        <w:rPr>
          <w:rFonts w:ascii="Calibri" w:hAnsi="Calibri" w:cs="Calibri"/>
          <w:spacing w:val="-1"/>
        </w:rPr>
        <w:t>/</w:t>
      </w:r>
      <w:r w:rsidR="00C23472">
        <w:rPr>
          <w:rFonts w:ascii="Calibri" w:hAnsi="Calibri" w:cs="Calibri"/>
        </w:rPr>
        <w:t>Belle</w:t>
      </w:r>
      <w:r w:rsidR="00C23472">
        <w:rPr>
          <w:rFonts w:ascii="Calibri" w:hAnsi="Calibri" w:cs="Calibri"/>
          <w:spacing w:val="1"/>
        </w:rPr>
        <w:t xml:space="preserve"> </w:t>
      </w:r>
      <w:r w:rsidR="00C23472">
        <w:rPr>
          <w:rFonts w:ascii="Calibri" w:hAnsi="Calibri" w:cs="Calibri"/>
        </w:rPr>
        <w:t>S</w:t>
      </w:r>
      <w:r w:rsidR="00C23472">
        <w:rPr>
          <w:rFonts w:ascii="Calibri" w:hAnsi="Calibri" w:cs="Calibri"/>
          <w:spacing w:val="-3"/>
        </w:rPr>
        <w:t>h</w:t>
      </w:r>
      <w:r w:rsidR="00C23472">
        <w:rPr>
          <w:rFonts w:ascii="Calibri" w:hAnsi="Calibri" w:cs="Calibri"/>
          <w:spacing w:val="1"/>
        </w:rPr>
        <w:t>o</w:t>
      </w:r>
      <w:r w:rsidR="00C23472">
        <w:rPr>
          <w:rFonts w:ascii="Calibri" w:hAnsi="Calibri" w:cs="Calibri"/>
        </w:rPr>
        <w:t>re</w:t>
      </w:r>
      <w:r w:rsidR="00C23472">
        <w:rPr>
          <w:rFonts w:ascii="Calibri" w:hAnsi="Calibri" w:cs="Calibri"/>
          <w:spacing w:val="-2"/>
        </w:rPr>
        <w:t xml:space="preserve"> </w:t>
      </w:r>
      <w:r w:rsidR="00C23472">
        <w:rPr>
          <w:rFonts w:ascii="Calibri" w:hAnsi="Calibri" w:cs="Calibri"/>
        </w:rPr>
        <w:t>A</w:t>
      </w:r>
      <w:r w:rsidR="00C23472">
        <w:rPr>
          <w:rFonts w:ascii="Calibri" w:hAnsi="Calibri" w:cs="Calibri"/>
          <w:spacing w:val="-1"/>
        </w:rPr>
        <w:t>p</w:t>
      </w:r>
      <w:r w:rsidR="00C23472">
        <w:rPr>
          <w:rFonts w:ascii="Calibri" w:hAnsi="Calibri" w:cs="Calibri"/>
        </w:rPr>
        <w:t>art</w:t>
      </w:r>
      <w:r w:rsidR="00C23472">
        <w:rPr>
          <w:rFonts w:ascii="Calibri" w:hAnsi="Calibri" w:cs="Calibri"/>
          <w:spacing w:val="-1"/>
        </w:rPr>
        <w:t>m</w:t>
      </w:r>
      <w:r w:rsidR="00C23472">
        <w:rPr>
          <w:rFonts w:ascii="Calibri" w:hAnsi="Calibri" w:cs="Calibri"/>
        </w:rPr>
        <w:t>ents</w:t>
      </w:r>
      <w:r w:rsidR="00C23472">
        <w:rPr>
          <w:rFonts w:ascii="Calibri" w:hAnsi="Calibri" w:cs="Calibri"/>
          <w:spacing w:val="1"/>
        </w:rPr>
        <w:t xml:space="preserve"> </w:t>
      </w:r>
      <w:r w:rsidR="00C23472">
        <w:rPr>
          <w:rFonts w:ascii="Calibri" w:hAnsi="Calibri" w:cs="Calibri"/>
        </w:rPr>
        <w:t>th</w:t>
      </w:r>
      <w:r w:rsidR="00C23472">
        <w:rPr>
          <w:rFonts w:ascii="Calibri" w:hAnsi="Calibri" w:cs="Calibri"/>
          <w:spacing w:val="-3"/>
        </w:rPr>
        <w:t>r</w:t>
      </w:r>
      <w:r w:rsidR="00C23472">
        <w:rPr>
          <w:rFonts w:ascii="Calibri" w:hAnsi="Calibri" w:cs="Calibri"/>
          <w:spacing w:val="1"/>
        </w:rPr>
        <w:t>o</w:t>
      </w:r>
      <w:r w:rsidR="00C23472">
        <w:rPr>
          <w:rFonts w:ascii="Calibri" w:hAnsi="Calibri" w:cs="Calibri"/>
          <w:spacing w:val="-1"/>
        </w:rPr>
        <w:t>ug</w:t>
      </w:r>
      <w:r w:rsidR="00C23472">
        <w:rPr>
          <w:rFonts w:ascii="Calibri" w:hAnsi="Calibri" w:cs="Calibri"/>
        </w:rPr>
        <w:t>h</w:t>
      </w:r>
      <w:r w:rsidR="00C23472">
        <w:rPr>
          <w:rFonts w:ascii="Calibri" w:hAnsi="Calibri" w:cs="Calibri"/>
          <w:spacing w:val="-1"/>
        </w:rPr>
        <w:t xml:space="preserve"> </w:t>
      </w:r>
      <w:r w:rsidR="00C23472">
        <w:rPr>
          <w:rFonts w:ascii="Calibri" w:hAnsi="Calibri" w:cs="Calibri"/>
        </w:rPr>
        <w:t>in</w:t>
      </w:r>
      <w:r w:rsidR="00C23472">
        <w:rPr>
          <w:rFonts w:ascii="Calibri" w:hAnsi="Calibri" w:cs="Calibri"/>
          <w:spacing w:val="-1"/>
        </w:rPr>
        <w:t>d</w:t>
      </w:r>
      <w:r w:rsidR="00C23472">
        <w:rPr>
          <w:rFonts w:ascii="Calibri" w:hAnsi="Calibri" w:cs="Calibri"/>
        </w:rPr>
        <w:t>iv</w:t>
      </w:r>
      <w:r w:rsidR="00C23472">
        <w:rPr>
          <w:rFonts w:ascii="Calibri" w:hAnsi="Calibri" w:cs="Calibri"/>
          <w:spacing w:val="-2"/>
        </w:rPr>
        <w:t>i</w:t>
      </w:r>
      <w:r w:rsidR="00C23472">
        <w:rPr>
          <w:rFonts w:ascii="Calibri" w:hAnsi="Calibri" w:cs="Calibri"/>
          <w:spacing w:val="-1"/>
        </w:rPr>
        <w:t>du</w:t>
      </w:r>
      <w:r w:rsidR="00C23472">
        <w:rPr>
          <w:rFonts w:ascii="Calibri" w:hAnsi="Calibri" w:cs="Calibri"/>
        </w:rPr>
        <w:t>al leases.</w:t>
      </w:r>
      <w:r w:rsidR="00C23472">
        <w:rPr>
          <w:rFonts w:ascii="Calibri" w:hAnsi="Calibri" w:cs="Calibri"/>
          <w:spacing w:val="49"/>
        </w:rPr>
        <w:t xml:space="preserve"> </w:t>
      </w:r>
      <w:r w:rsidR="00C23472">
        <w:rPr>
          <w:rFonts w:ascii="Calibri" w:hAnsi="Calibri" w:cs="Calibri"/>
          <w:spacing w:val="1"/>
        </w:rPr>
        <w:t>T</w:t>
      </w:r>
      <w:r w:rsidR="00C23472">
        <w:rPr>
          <w:rFonts w:ascii="Calibri" w:hAnsi="Calibri" w:cs="Calibri"/>
          <w:spacing w:val="-1"/>
        </w:rPr>
        <w:t>h</w:t>
      </w:r>
      <w:r w:rsidR="00C23472">
        <w:rPr>
          <w:rFonts w:ascii="Calibri" w:hAnsi="Calibri" w:cs="Calibri"/>
          <w:spacing w:val="-2"/>
        </w:rPr>
        <w:t>e</w:t>
      </w:r>
      <w:r w:rsidR="00C23472">
        <w:rPr>
          <w:rFonts w:ascii="Calibri" w:hAnsi="Calibri" w:cs="Calibri"/>
        </w:rPr>
        <w:t>y</w:t>
      </w:r>
      <w:r w:rsidR="00C23472">
        <w:rPr>
          <w:rFonts w:ascii="Calibri" w:hAnsi="Calibri" w:cs="Calibri"/>
          <w:spacing w:val="1"/>
        </w:rPr>
        <w:t xml:space="preserve"> </w:t>
      </w:r>
      <w:r w:rsidR="00C23472">
        <w:rPr>
          <w:rFonts w:ascii="Calibri" w:hAnsi="Calibri" w:cs="Calibri"/>
        </w:rPr>
        <w:t>r</w:t>
      </w:r>
      <w:r w:rsidR="00C23472">
        <w:rPr>
          <w:rFonts w:ascii="Calibri" w:hAnsi="Calibri" w:cs="Calibri"/>
          <w:spacing w:val="-2"/>
        </w:rPr>
        <w:t>e</w:t>
      </w:r>
      <w:r w:rsidR="00C23472">
        <w:rPr>
          <w:rFonts w:ascii="Calibri" w:hAnsi="Calibri" w:cs="Calibri"/>
        </w:rPr>
        <w:t>cei</w:t>
      </w:r>
      <w:r w:rsidR="00C23472">
        <w:rPr>
          <w:rFonts w:ascii="Calibri" w:hAnsi="Calibri" w:cs="Calibri"/>
          <w:spacing w:val="-1"/>
        </w:rPr>
        <w:t>v</w:t>
      </w:r>
      <w:r w:rsidR="00C23472">
        <w:rPr>
          <w:rFonts w:ascii="Calibri" w:hAnsi="Calibri" w:cs="Calibri"/>
        </w:rPr>
        <w:t>e</w:t>
      </w:r>
      <w:r w:rsidR="00C23472">
        <w:rPr>
          <w:rFonts w:ascii="Calibri" w:hAnsi="Calibri" w:cs="Calibri"/>
          <w:spacing w:val="1"/>
        </w:rPr>
        <w:t xml:space="preserve"> </w:t>
      </w:r>
      <w:r w:rsidR="00C23472">
        <w:rPr>
          <w:rFonts w:ascii="Calibri" w:hAnsi="Calibri" w:cs="Calibri"/>
          <w:spacing w:val="-3"/>
        </w:rPr>
        <w:t>A</w:t>
      </w:r>
      <w:r w:rsidR="00C23472">
        <w:rPr>
          <w:rFonts w:ascii="Calibri" w:hAnsi="Calibri" w:cs="Calibri"/>
        </w:rPr>
        <w:t>sser</w:t>
      </w:r>
      <w:r w:rsidR="00C23472">
        <w:rPr>
          <w:rFonts w:ascii="Calibri" w:hAnsi="Calibri" w:cs="Calibri"/>
          <w:spacing w:val="1"/>
        </w:rPr>
        <w:t>t</w:t>
      </w:r>
      <w:r w:rsidR="00C23472">
        <w:rPr>
          <w:rFonts w:ascii="Calibri" w:hAnsi="Calibri" w:cs="Calibri"/>
          <w:spacing w:val="-3"/>
        </w:rPr>
        <w:t>i</w:t>
      </w:r>
      <w:r w:rsidR="00C23472">
        <w:rPr>
          <w:rFonts w:ascii="Calibri" w:hAnsi="Calibri" w:cs="Calibri"/>
          <w:spacing w:val="1"/>
        </w:rPr>
        <w:t>v</w:t>
      </w:r>
      <w:r w:rsidR="00C23472">
        <w:rPr>
          <w:rFonts w:ascii="Calibri" w:hAnsi="Calibri" w:cs="Calibri"/>
        </w:rPr>
        <w:t>e</w:t>
      </w:r>
      <w:r w:rsidR="00C23472">
        <w:rPr>
          <w:rFonts w:ascii="Calibri" w:hAnsi="Calibri" w:cs="Calibri"/>
          <w:spacing w:val="1"/>
        </w:rPr>
        <w:t xml:space="preserve"> </w:t>
      </w:r>
      <w:r w:rsidR="00C23472">
        <w:rPr>
          <w:rFonts w:ascii="Calibri" w:hAnsi="Calibri" w:cs="Calibri"/>
          <w:spacing w:val="-2"/>
        </w:rPr>
        <w:t>C</w:t>
      </w:r>
      <w:r w:rsidR="00C23472">
        <w:rPr>
          <w:rFonts w:ascii="Calibri" w:hAnsi="Calibri" w:cs="Calibri"/>
          <w:spacing w:val="-1"/>
        </w:rPr>
        <w:t>om</w:t>
      </w:r>
      <w:r w:rsidR="00C23472">
        <w:rPr>
          <w:rFonts w:ascii="Calibri" w:hAnsi="Calibri" w:cs="Calibri"/>
          <w:spacing w:val="1"/>
        </w:rPr>
        <w:t>m</w:t>
      </w:r>
      <w:r w:rsidR="00C23472">
        <w:rPr>
          <w:rFonts w:ascii="Calibri" w:hAnsi="Calibri" w:cs="Calibri"/>
          <w:spacing w:val="-1"/>
        </w:rPr>
        <w:t>un</w:t>
      </w:r>
      <w:r w:rsidR="00C23472">
        <w:rPr>
          <w:rFonts w:ascii="Calibri" w:hAnsi="Calibri" w:cs="Calibri"/>
        </w:rPr>
        <w:t>ity Trea</w:t>
      </w:r>
      <w:r w:rsidR="00C23472">
        <w:rPr>
          <w:rFonts w:ascii="Calibri" w:hAnsi="Calibri" w:cs="Calibri"/>
          <w:spacing w:val="-1"/>
        </w:rPr>
        <w:t>t</w:t>
      </w:r>
      <w:r w:rsidR="00C23472">
        <w:rPr>
          <w:rFonts w:ascii="Calibri" w:hAnsi="Calibri" w:cs="Calibri"/>
          <w:spacing w:val="1"/>
        </w:rPr>
        <w:t>m</w:t>
      </w:r>
      <w:r w:rsidR="00C23472">
        <w:rPr>
          <w:rFonts w:ascii="Calibri" w:hAnsi="Calibri" w:cs="Calibri"/>
        </w:rPr>
        <w:t>ent</w:t>
      </w:r>
      <w:r w:rsidR="00C23472">
        <w:rPr>
          <w:rFonts w:ascii="Calibri" w:hAnsi="Calibri" w:cs="Calibri"/>
          <w:spacing w:val="-2"/>
        </w:rPr>
        <w:t xml:space="preserve"> </w:t>
      </w:r>
      <w:r w:rsidR="00C23472">
        <w:rPr>
          <w:rFonts w:ascii="Calibri" w:hAnsi="Calibri" w:cs="Calibri"/>
          <w:spacing w:val="1"/>
        </w:rPr>
        <w:t>(</w:t>
      </w:r>
      <w:r w:rsidR="00C23472">
        <w:rPr>
          <w:rFonts w:ascii="Calibri" w:hAnsi="Calibri" w:cs="Calibri"/>
        </w:rPr>
        <w:t>A</w:t>
      </w:r>
      <w:r w:rsidR="00C23472">
        <w:rPr>
          <w:rFonts w:ascii="Calibri" w:hAnsi="Calibri" w:cs="Calibri"/>
          <w:spacing w:val="-1"/>
        </w:rPr>
        <w:t>C</w:t>
      </w:r>
      <w:r w:rsidR="00C23472">
        <w:rPr>
          <w:rFonts w:ascii="Calibri" w:hAnsi="Calibri" w:cs="Calibri"/>
        </w:rPr>
        <w:t>T)</w:t>
      </w:r>
      <w:r w:rsidR="00C23472">
        <w:rPr>
          <w:rFonts w:ascii="Calibri" w:hAnsi="Calibri" w:cs="Calibri"/>
          <w:spacing w:val="-1"/>
        </w:rPr>
        <w:t xml:space="preserve"> </w:t>
      </w:r>
      <w:r w:rsidR="00C23472">
        <w:rPr>
          <w:rFonts w:ascii="Calibri" w:hAnsi="Calibri" w:cs="Calibri"/>
          <w:spacing w:val="2"/>
        </w:rPr>
        <w:t>o</w:t>
      </w:r>
      <w:r w:rsidR="00C23472">
        <w:rPr>
          <w:rFonts w:ascii="Calibri" w:hAnsi="Calibri" w:cs="Calibri"/>
        </w:rPr>
        <w:t>r</w:t>
      </w:r>
      <w:r w:rsidR="00C23472">
        <w:rPr>
          <w:rFonts w:ascii="Calibri" w:hAnsi="Calibri" w:cs="Calibri"/>
          <w:spacing w:val="-2"/>
        </w:rPr>
        <w:t xml:space="preserve"> C</w:t>
      </w:r>
      <w:r w:rsidR="00C23472">
        <w:rPr>
          <w:rFonts w:ascii="Calibri" w:hAnsi="Calibri" w:cs="Calibri"/>
          <w:spacing w:val="1"/>
        </w:rPr>
        <w:t>o</w:t>
      </w:r>
      <w:r w:rsidR="00C23472">
        <w:rPr>
          <w:rFonts w:ascii="Calibri" w:hAnsi="Calibri" w:cs="Calibri"/>
          <w:spacing w:val="-1"/>
        </w:rPr>
        <w:t>mmun</w:t>
      </w:r>
      <w:r w:rsidR="00C23472">
        <w:rPr>
          <w:rFonts w:ascii="Calibri" w:hAnsi="Calibri" w:cs="Calibri"/>
        </w:rPr>
        <w:t>ity</w:t>
      </w:r>
      <w:r w:rsidR="00C23472">
        <w:rPr>
          <w:rFonts w:ascii="Calibri" w:hAnsi="Calibri" w:cs="Calibri"/>
          <w:spacing w:val="1"/>
        </w:rPr>
        <w:t xml:space="preserve"> </w:t>
      </w:r>
      <w:r w:rsidR="00C23472">
        <w:rPr>
          <w:rFonts w:ascii="Calibri" w:hAnsi="Calibri" w:cs="Calibri"/>
        </w:rPr>
        <w:t>S</w:t>
      </w:r>
      <w:r w:rsidR="00C23472">
        <w:rPr>
          <w:rFonts w:ascii="Calibri" w:hAnsi="Calibri" w:cs="Calibri"/>
          <w:spacing w:val="-1"/>
        </w:rPr>
        <w:t>upp</w:t>
      </w:r>
      <w:r w:rsidR="00C23472">
        <w:rPr>
          <w:rFonts w:ascii="Calibri" w:hAnsi="Calibri" w:cs="Calibri"/>
          <w:spacing w:val="1"/>
        </w:rPr>
        <w:t>o</w:t>
      </w:r>
      <w:r w:rsidR="00C23472">
        <w:rPr>
          <w:rFonts w:ascii="Calibri" w:hAnsi="Calibri" w:cs="Calibri"/>
        </w:rPr>
        <w:t>rt</w:t>
      </w:r>
      <w:r w:rsidR="00C23472">
        <w:rPr>
          <w:rFonts w:ascii="Calibri" w:hAnsi="Calibri" w:cs="Calibri"/>
          <w:spacing w:val="-2"/>
        </w:rPr>
        <w:t xml:space="preserve"> </w:t>
      </w:r>
      <w:r w:rsidR="00C23472">
        <w:rPr>
          <w:rFonts w:ascii="Calibri" w:hAnsi="Calibri" w:cs="Calibri"/>
        </w:rPr>
        <w:t>T</w:t>
      </w:r>
      <w:r w:rsidR="00C23472">
        <w:rPr>
          <w:rFonts w:ascii="Calibri" w:hAnsi="Calibri" w:cs="Calibri"/>
          <w:spacing w:val="1"/>
        </w:rPr>
        <w:t>e</w:t>
      </w:r>
      <w:r w:rsidR="00C23472">
        <w:rPr>
          <w:rFonts w:ascii="Calibri" w:hAnsi="Calibri" w:cs="Calibri"/>
          <w:spacing w:val="-3"/>
        </w:rPr>
        <w:t>a</w:t>
      </w:r>
      <w:r w:rsidR="00C23472">
        <w:rPr>
          <w:rFonts w:ascii="Calibri" w:hAnsi="Calibri" w:cs="Calibri"/>
        </w:rPr>
        <w:t>m</w:t>
      </w:r>
      <w:r w:rsidR="00C23472">
        <w:rPr>
          <w:rFonts w:ascii="Calibri" w:hAnsi="Calibri" w:cs="Calibri"/>
          <w:spacing w:val="1"/>
        </w:rPr>
        <w:t xml:space="preserve"> </w:t>
      </w:r>
      <w:r w:rsidR="00C23472">
        <w:rPr>
          <w:rFonts w:ascii="Calibri" w:hAnsi="Calibri" w:cs="Calibri"/>
          <w:spacing w:val="-2"/>
        </w:rPr>
        <w:t>(</w:t>
      </w:r>
      <w:r w:rsidR="00C23472">
        <w:rPr>
          <w:rFonts w:ascii="Calibri" w:hAnsi="Calibri" w:cs="Calibri"/>
        </w:rPr>
        <w:t xml:space="preserve">CST) </w:t>
      </w:r>
      <w:r w:rsidR="00C23472">
        <w:rPr>
          <w:rFonts w:ascii="Calibri" w:hAnsi="Calibri" w:cs="Calibri"/>
          <w:spacing w:val="-2"/>
        </w:rPr>
        <w:t>s</w:t>
      </w:r>
      <w:r w:rsidR="00C23472">
        <w:rPr>
          <w:rFonts w:ascii="Calibri" w:hAnsi="Calibri" w:cs="Calibri"/>
        </w:rPr>
        <w:t>er</w:t>
      </w:r>
      <w:r w:rsidR="00C23472">
        <w:rPr>
          <w:rFonts w:ascii="Calibri" w:hAnsi="Calibri" w:cs="Calibri"/>
          <w:spacing w:val="1"/>
        </w:rPr>
        <w:t>v</w:t>
      </w:r>
      <w:r w:rsidR="00C23472">
        <w:rPr>
          <w:rFonts w:ascii="Calibri" w:hAnsi="Calibri" w:cs="Calibri"/>
        </w:rPr>
        <w:t>i</w:t>
      </w:r>
      <w:r w:rsidR="00C23472">
        <w:rPr>
          <w:rFonts w:ascii="Calibri" w:hAnsi="Calibri" w:cs="Calibri"/>
          <w:spacing w:val="-3"/>
        </w:rPr>
        <w:t>c</w:t>
      </w:r>
      <w:r w:rsidR="00C23472">
        <w:rPr>
          <w:rFonts w:ascii="Calibri" w:hAnsi="Calibri" w:cs="Calibri"/>
        </w:rPr>
        <w:t>es</w:t>
      </w:r>
      <w:r w:rsidR="00C23472">
        <w:rPr>
          <w:rFonts w:ascii="Calibri" w:hAnsi="Calibri" w:cs="Calibri"/>
          <w:spacing w:val="1"/>
        </w:rPr>
        <w:t xml:space="preserve"> </w:t>
      </w:r>
      <w:r w:rsidR="00C23472">
        <w:rPr>
          <w:rFonts w:ascii="Calibri" w:hAnsi="Calibri" w:cs="Calibri"/>
        </w:rPr>
        <w:t>f</w:t>
      </w:r>
      <w:r w:rsidR="00C23472">
        <w:rPr>
          <w:rFonts w:ascii="Calibri" w:hAnsi="Calibri" w:cs="Calibri"/>
          <w:spacing w:val="-3"/>
        </w:rPr>
        <w:t>r</w:t>
      </w:r>
      <w:r w:rsidR="00C23472">
        <w:rPr>
          <w:rFonts w:ascii="Calibri" w:hAnsi="Calibri" w:cs="Calibri"/>
          <w:spacing w:val="-1"/>
        </w:rPr>
        <w:t>o</w:t>
      </w:r>
      <w:r w:rsidR="00C23472">
        <w:rPr>
          <w:rFonts w:ascii="Calibri" w:hAnsi="Calibri" w:cs="Calibri"/>
        </w:rPr>
        <w:t>m</w:t>
      </w:r>
      <w:r w:rsidR="00C23472">
        <w:rPr>
          <w:rFonts w:ascii="Calibri" w:hAnsi="Calibri" w:cs="Calibri"/>
          <w:spacing w:val="1"/>
        </w:rPr>
        <w:t xml:space="preserve"> T</w:t>
      </w:r>
      <w:r w:rsidR="00C23472">
        <w:rPr>
          <w:rFonts w:ascii="Calibri" w:hAnsi="Calibri" w:cs="Calibri"/>
          <w:spacing w:val="-1"/>
        </w:rPr>
        <w:t>h</w:t>
      </w:r>
      <w:r w:rsidR="00C23472">
        <w:rPr>
          <w:rFonts w:ascii="Calibri" w:hAnsi="Calibri" w:cs="Calibri"/>
        </w:rPr>
        <w:t>r</w:t>
      </w:r>
      <w:r w:rsidR="00C23472">
        <w:rPr>
          <w:rFonts w:ascii="Calibri" w:hAnsi="Calibri" w:cs="Calibri"/>
          <w:spacing w:val="-2"/>
        </w:rPr>
        <w:t>e</w:t>
      </w:r>
      <w:r w:rsidR="00C23472">
        <w:rPr>
          <w:rFonts w:ascii="Calibri" w:hAnsi="Calibri" w:cs="Calibri"/>
        </w:rPr>
        <w:t xml:space="preserve">shold’s </w:t>
      </w:r>
      <w:r w:rsidR="00C23472">
        <w:rPr>
          <w:rFonts w:ascii="Calibri" w:hAnsi="Calibri" w:cs="Calibri"/>
          <w:spacing w:val="-2"/>
        </w:rPr>
        <w:t>C</w:t>
      </w:r>
      <w:r w:rsidR="00C23472">
        <w:rPr>
          <w:rFonts w:ascii="Calibri" w:hAnsi="Calibri" w:cs="Calibri"/>
          <w:spacing w:val="1"/>
        </w:rPr>
        <w:t>o</w:t>
      </w:r>
      <w:r w:rsidR="00C23472">
        <w:rPr>
          <w:rFonts w:ascii="Calibri" w:hAnsi="Calibri" w:cs="Calibri"/>
          <w:spacing w:val="-1"/>
        </w:rPr>
        <w:t>m</w:t>
      </w:r>
      <w:r w:rsidR="00C23472">
        <w:rPr>
          <w:rFonts w:ascii="Calibri" w:hAnsi="Calibri" w:cs="Calibri"/>
          <w:spacing w:val="1"/>
        </w:rPr>
        <w:t>m</w:t>
      </w:r>
      <w:r w:rsidR="00C23472">
        <w:rPr>
          <w:rFonts w:ascii="Calibri" w:hAnsi="Calibri" w:cs="Calibri"/>
          <w:spacing w:val="-1"/>
        </w:rPr>
        <w:t>un</w:t>
      </w:r>
      <w:r w:rsidR="00C23472">
        <w:rPr>
          <w:rFonts w:ascii="Calibri" w:hAnsi="Calibri" w:cs="Calibri"/>
        </w:rPr>
        <w:t>i</w:t>
      </w:r>
      <w:r w:rsidR="00C23472">
        <w:rPr>
          <w:rFonts w:ascii="Calibri" w:hAnsi="Calibri" w:cs="Calibri"/>
          <w:spacing w:val="-2"/>
        </w:rPr>
        <w:t>t</w:t>
      </w:r>
      <w:r w:rsidR="00C23472">
        <w:rPr>
          <w:rFonts w:ascii="Calibri" w:hAnsi="Calibri" w:cs="Calibri"/>
        </w:rPr>
        <w:t>y</w:t>
      </w:r>
      <w:r w:rsidR="00C23472">
        <w:rPr>
          <w:rFonts w:ascii="Calibri" w:hAnsi="Calibri" w:cs="Calibri"/>
          <w:spacing w:val="-1"/>
        </w:rPr>
        <w:t xml:space="preserve"> </w:t>
      </w:r>
      <w:r w:rsidR="00C23472">
        <w:rPr>
          <w:rFonts w:ascii="Calibri" w:hAnsi="Calibri" w:cs="Calibri"/>
          <w:spacing w:val="1"/>
        </w:rPr>
        <w:t>M</w:t>
      </w:r>
      <w:r w:rsidR="00C23472">
        <w:rPr>
          <w:rFonts w:ascii="Calibri" w:hAnsi="Calibri" w:cs="Calibri"/>
        </w:rPr>
        <w:t xml:space="preserve">ental </w:t>
      </w:r>
      <w:r w:rsidR="00C23472">
        <w:rPr>
          <w:rFonts w:ascii="Calibri" w:hAnsi="Calibri" w:cs="Calibri"/>
          <w:spacing w:val="-1"/>
        </w:rPr>
        <w:t>H</w:t>
      </w:r>
      <w:r w:rsidR="00C23472">
        <w:rPr>
          <w:rFonts w:ascii="Calibri" w:hAnsi="Calibri" w:cs="Calibri"/>
        </w:rPr>
        <w:t>ealth Cen</w:t>
      </w:r>
      <w:r w:rsidR="00C23472">
        <w:rPr>
          <w:rFonts w:ascii="Calibri" w:hAnsi="Calibri" w:cs="Calibri"/>
          <w:spacing w:val="-2"/>
        </w:rPr>
        <w:t>t</w:t>
      </w:r>
      <w:r w:rsidR="00C23472">
        <w:rPr>
          <w:rFonts w:ascii="Calibri" w:hAnsi="Calibri" w:cs="Calibri"/>
        </w:rPr>
        <w:t xml:space="preserve">er. </w:t>
      </w:r>
      <w:r w:rsidR="00C23472">
        <w:rPr>
          <w:rFonts w:ascii="Calibri" w:hAnsi="Calibri" w:cs="Calibri"/>
          <w:spacing w:val="49"/>
        </w:rPr>
        <w:t xml:space="preserve"> </w:t>
      </w:r>
      <w:r w:rsidR="00C23472">
        <w:rPr>
          <w:rFonts w:ascii="Calibri" w:hAnsi="Calibri" w:cs="Calibri"/>
        </w:rPr>
        <w:t>Thres</w:t>
      </w:r>
      <w:r w:rsidR="00C23472">
        <w:rPr>
          <w:rFonts w:ascii="Calibri" w:hAnsi="Calibri" w:cs="Calibri"/>
          <w:spacing w:val="-3"/>
        </w:rPr>
        <w:t>h</w:t>
      </w:r>
      <w:r w:rsidR="00C23472">
        <w:rPr>
          <w:rFonts w:ascii="Calibri" w:hAnsi="Calibri" w:cs="Calibri"/>
          <w:spacing w:val="1"/>
        </w:rPr>
        <w:t>o</w:t>
      </w:r>
      <w:r w:rsidR="00C23472">
        <w:rPr>
          <w:rFonts w:ascii="Calibri" w:hAnsi="Calibri" w:cs="Calibri"/>
        </w:rPr>
        <w:t>l</w:t>
      </w:r>
      <w:r w:rsidR="00C23472">
        <w:rPr>
          <w:rFonts w:ascii="Calibri" w:hAnsi="Calibri" w:cs="Calibri"/>
          <w:spacing w:val="-1"/>
        </w:rPr>
        <w:t>d</w:t>
      </w:r>
      <w:r w:rsidR="00C23472">
        <w:rPr>
          <w:rFonts w:ascii="Calibri" w:hAnsi="Calibri" w:cs="Calibri"/>
        </w:rPr>
        <w:t>s</w:t>
      </w:r>
      <w:r w:rsidR="00C23472">
        <w:rPr>
          <w:rFonts w:ascii="Calibri" w:hAnsi="Calibri" w:cs="Calibri"/>
          <w:spacing w:val="-2"/>
        </w:rPr>
        <w:t xml:space="preserve"> </w:t>
      </w:r>
      <w:r w:rsidR="00C23472">
        <w:rPr>
          <w:rFonts w:ascii="Calibri" w:hAnsi="Calibri" w:cs="Calibri"/>
          <w:spacing w:val="2"/>
        </w:rPr>
        <w:t>m</w:t>
      </w:r>
      <w:r w:rsidR="00C23472">
        <w:rPr>
          <w:rFonts w:ascii="Calibri" w:hAnsi="Calibri" w:cs="Calibri"/>
        </w:rPr>
        <w:t>ai</w:t>
      </w:r>
      <w:r w:rsidR="00C23472">
        <w:rPr>
          <w:rFonts w:ascii="Calibri" w:hAnsi="Calibri" w:cs="Calibri"/>
          <w:spacing w:val="-1"/>
        </w:rPr>
        <w:t>n</w:t>
      </w:r>
      <w:r w:rsidR="00C23472">
        <w:rPr>
          <w:rFonts w:ascii="Calibri" w:hAnsi="Calibri" w:cs="Calibri"/>
        </w:rPr>
        <w:t>tai</w:t>
      </w:r>
      <w:r w:rsidR="00C23472">
        <w:rPr>
          <w:rFonts w:ascii="Calibri" w:hAnsi="Calibri" w:cs="Calibri"/>
          <w:spacing w:val="-1"/>
        </w:rPr>
        <w:t>n</w:t>
      </w:r>
      <w:r w:rsidR="00C23472">
        <w:rPr>
          <w:rFonts w:ascii="Calibri" w:hAnsi="Calibri" w:cs="Calibri"/>
        </w:rPr>
        <w:t>s</w:t>
      </w:r>
      <w:r w:rsidR="00C23472">
        <w:rPr>
          <w:rFonts w:ascii="Calibri" w:hAnsi="Calibri" w:cs="Calibri"/>
          <w:spacing w:val="-2"/>
        </w:rPr>
        <w:t xml:space="preserve"> </w:t>
      </w:r>
      <w:r w:rsidR="00C23472">
        <w:rPr>
          <w:rFonts w:ascii="Calibri" w:hAnsi="Calibri" w:cs="Calibri"/>
        </w:rPr>
        <w:t xml:space="preserve">an </w:t>
      </w:r>
      <w:r w:rsidR="00C23472">
        <w:rPr>
          <w:rFonts w:ascii="Calibri" w:hAnsi="Calibri" w:cs="Calibri"/>
          <w:spacing w:val="1"/>
        </w:rPr>
        <w:t>o</w:t>
      </w:r>
      <w:r w:rsidR="00C23472">
        <w:rPr>
          <w:rFonts w:ascii="Calibri" w:hAnsi="Calibri" w:cs="Calibri"/>
        </w:rPr>
        <w:t>ff</w:t>
      </w:r>
      <w:r w:rsidR="00C23472">
        <w:rPr>
          <w:rFonts w:ascii="Calibri" w:hAnsi="Calibri" w:cs="Calibri"/>
          <w:spacing w:val="-3"/>
        </w:rPr>
        <w:t>i</w:t>
      </w:r>
      <w:r w:rsidR="00C23472">
        <w:rPr>
          <w:rFonts w:ascii="Calibri" w:hAnsi="Calibri" w:cs="Calibri"/>
        </w:rPr>
        <w:t>ce</w:t>
      </w:r>
      <w:r w:rsidR="00C23472">
        <w:rPr>
          <w:rFonts w:ascii="Calibri" w:hAnsi="Calibri" w:cs="Calibri"/>
          <w:spacing w:val="1"/>
        </w:rPr>
        <w:t xml:space="preserve"> </w:t>
      </w:r>
      <w:r w:rsidR="00C23472">
        <w:rPr>
          <w:rFonts w:ascii="Calibri" w:hAnsi="Calibri" w:cs="Calibri"/>
        </w:rPr>
        <w:t>in</w:t>
      </w:r>
      <w:r w:rsidR="00C23472">
        <w:rPr>
          <w:rFonts w:ascii="Calibri" w:hAnsi="Calibri" w:cs="Calibri"/>
          <w:spacing w:val="-3"/>
        </w:rPr>
        <w:t xml:space="preserve"> </w:t>
      </w:r>
      <w:r w:rsidR="00C23472">
        <w:rPr>
          <w:rFonts w:ascii="Calibri" w:hAnsi="Calibri" w:cs="Calibri"/>
        </w:rPr>
        <w:t>the</w:t>
      </w:r>
      <w:r w:rsidR="00C23472">
        <w:rPr>
          <w:rFonts w:ascii="Calibri" w:hAnsi="Calibri" w:cs="Calibri"/>
          <w:spacing w:val="-2"/>
        </w:rPr>
        <w:t xml:space="preserve"> </w:t>
      </w:r>
      <w:r w:rsidR="00C23472">
        <w:rPr>
          <w:rFonts w:ascii="Calibri" w:hAnsi="Calibri" w:cs="Calibri"/>
          <w:spacing w:val="-1"/>
        </w:rPr>
        <w:t>d</w:t>
      </w:r>
      <w:r w:rsidR="00C23472">
        <w:rPr>
          <w:rFonts w:ascii="Calibri" w:hAnsi="Calibri" w:cs="Calibri"/>
        </w:rPr>
        <w:t>e</w:t>
      </w:r>
      <w:r w:rsidR="00C23472">
        <w:rPr>
          <w:rFonts w:ascii="Calibri" w:hAnsi="Calibri" w:cs="Calibri"/>
          <w:spacing w:val="1"/>
        </w:rPr>
        <w:t>v</w:t>
      </w:r>
      <w:r w:rsidR="00C23472">
        <w:rPr>
          <w:rFonts w:ascii="Calibri" w:hAnsi="Calibri" w:cs="Calibri"/>
        </w:rPr>
        <w:t>e</w:t>
      </w:r>
      <w:r w:rsidR="00C23472">
        <w:rPr>
          <w:rFonts w:ascii="Calibri" w:hAnsi="Calibri" w:cs="Calibri"/>
          <w:spacing w:val="-2"/>
        </w:rPr>
        <w:t>l</w:t>
      </w:r>
      <w:r w:rsidR="00C23472">
        <w:rPr>
          <w:rFonts w:ascii="Calibri" w:hAnsi="Calibri" w:cs="Calibri"/>
          <w:spacing w:val="1"/>
        </w:rPr>
        <w:t>o</w:t>
      </w:r>
      <w:r w:rsidR="00C23472">
        <w:rPr>
          <w:rFonts w:ascii="Calibri" w:hAnsi="Calibri" w:cs="Calibri"/>
          <w:spacing w:val="-1"/>
        </w:rPr>
        <w:t>pm</w:t>
      </w:r>
      <w:r w:rsidR="00C23472">
        <w:rPr>
          <w:rFonts w:ascii="Calibri" w:hAnsi="Calibri" w:cs="Calibri"/>
        </w:rPr>
        <w:t>ent</w:t>
      </w:r>
      <w:r w:rsidR="00C23472">
        <w:rPr>
          <w:rFonts w:ascii="Calibri" w:hAnsi="Calibri" w:cs="Calibri"/>
          <w:spacing w:val="-2"/>
        </w:rPr>
        <w:t xml:space="preserve"> </w:t>
      </w:r>
      <w:r w:rsidR="00C23472">
        <w:rPr>
          <w:rFonts w:ascii="Calibri" w:hAnsi="Calibri" w:cs="Calibri"/>
        </w:rPr>
        <w:t>that p</w:t>
      </w:r>
      <w:r w:rsidR="00C23472">
        <w:rPr>
          <w:rFonts w:ascii="Calibri" w:hAnsi="Calibri" w:cs="Calibri"/>
          <w:spacing w:val="-3"/>
        </w:rPr>
        <w:t>r</w:t>
      </w:r>
      <w:r w:rsidR="00C23472">
        <w:rPr>
          <w:rFonts w:ascii="Calibri" w:hAnsi="Calibri" w:cs="Calibri"/>
          <w:spacing w:val="1"/>
        </w:rPr>
        <w:t>ov</w:t>
      </w:r>
      <w:r w:rsidR="00C23472">
        <w:rPr>
          <w:rFonts w:ascii="Calibri" w:hAnsi="Calibri" w:cs="Calibri"/>
        </w:rPr>
        <w:t>i</w:t>
      </w:r>
      <w:r w:rsidR="00C23472">
        <w:rPr>
          <w:rFonts w:ascii="Calibri" w:hAnsi="Calibri" w:cs="Calibri"/>
          <w:spacing w:val="-1"/>
        </w:rPr>
        <w:t>d</w:t>
      </w:r>
      <w:r w:rsidR="00C23472">
        <w:rPr>
          <w:rFonts w:ascii="Calibri" w:hAnsi="Calibri" w:cs="Calibri"/>
        </w:rPr>
        <w:t>es</w:t>
      </w:r>
      <w:r w:rsidR="00C23472">
        <w:rPr>
          <w:rFonts w:ascii="Calibri" w:hAnsi="Calibri" w:cs="Calibri"/>
          <w:spacing w:val="-2"/>
        </w:rPr>
        <w:t xml:space="preserve"> </w:t>
      </w:r>
      <w:r w:rsidR="00C23472">
        <w:rPr>
          <w:rFonts w:ascii="Calibri" w:hAnsi="Calibri" w:cs="Calibri"/>
        </w:rPr>
        <w:t>pe</w:t>
      </w:r>
      <w:r w:rsidR="00C23472">
        <w:rPr>
          <w:rFonts w:ascii="Calibri" w:hAnsi="Calibri" w:cs="Calibri"/>
          <w:spacing w:val="1"/>
        </w:rPr>
        <w:t>e</w:t>
      </w:r>
      <w:r w:rsidR="00C23472">
        <w:rPr>
          <w:rFonts w:ascii="Calibri" w:hAnsi="Calibri" w:cs="Calibri"/>
        </w:rPr>
        <w:t>r su</w:t>
      </w:r>
      <w:r w:rsidR="00C23472">
        <w:rPr>
          <w:rFonts w:ascii="Calibri" w:hAnsi="Calibri" w:cs="Calibri"/>
          <w:spacing w:val="-1"/>
        </w:rPr>
        <w:t>p</w:t>
      </w:r>
      <w:r w:rsidR="00C23472">
        <w:rPr>
          <w:rFonts w:ascii="Calibri" w:hAnsi="Calibri" w:cs="Calibri"/>
          <w:spacing w:val="-3"/>
        </w:rPr>
        <w:t>p</w:t>
      </w:r>
      <w:r w:rsidR="00C23472">
        <w:rPr>
          <w:rFonts w:ascii="Calibri" w:hAnsi="Calibri" w:cs="Calibri"/>
          <w:spacing w:val="1"/>
        </w:rPr>
        <w:t>o</w:t>
      </w:r>
      <w:r w:rsidR="00C23472">
        <w:rPr>
          <w:rFonts w:ascii="Calibri" w:hAnsi="Calibri" w:cs="Calibri"/>
        </w:rPr>
        <w:t>rt</w:t>
      </w:r>
      <w:r w:rsidR="00C23472">
        <w:rPr>
          <w:rFonts w:ascii="Calibri" w:hAnsi="Calibri" w:cs="Calibri"/>
          <w:spacing w:val="-1"/>
        </w:rPr>
        <w:t xml:space="preserve"> </w:t>
      </w:r>
      <w:r w:rsidR="00C23472">
        <w:rPr>
          <w:rFonts w:ascii="Calibri" w:hAnsi="Calibri" w:cs="Calibri"/>
          <w:spacing w:val="1"/>
        </w:rPr>
        <w:t>2</w:t>
      </w:r>
      <w:r w:rsidR="00C23472">
        <w:rPr>
          <w:rFonts w:ascii="Calibri" w:hAnsi="Calibri" w:cs="Calibri"/>
          <w:spacing w:val="5"/>
        </w:rPr>
        <w:t>4</w:t>
      </w:r>
      <w:r w:rsidR="00C23472">
        <w:rPr>
          <w:rFonts w:ascii="Calibri" w:hAnsi="Calibri" w:cs="Calibri"/>
        </w:rPr>
        <w:t>-</w:t>
      </w:r>
      <w:r w:rsidR="00C23472">
        <w:rPr>
          <w:rFonts w:ascii="Calibri" w:hAnsi="Calibri" w:cs="Calibri"/>
          <w:spacing w:val="-3"/>
        </w:rPr>
        <w:t>h</w:t>
      </w:r>
      <w:r w:rsidR="00C23472">
        <w:rPr>
          <w:rFonts w:ascii="Calibri" w:hAnsi="Calibri" w:cs="Calibri"/>
          <w:spacing w:val="1"/>
        </w:rPr>
        <w:t>o</w:t>
      </w:r>
      <w:r w:rsidR="00C23472">
        <w:rPr>
          <w:rFonts w:ascii="Calibri" w:hAnsi="Calibri" w:cs="Calibri"/>
          <w:spacing w:val="-1"/>
        </w:rPr>
        <w:t>u</w:t>
      </w:r>
      <w:r w:rsidR="00C23472">
        <w:rPr>
          <w:rFonts w:ascii="Calibri" w:hAnsi="Calibri" w:cs="Calibri"/>
        </w:rPr>
        <w:t xml:space="preserve">rs a day. </w:t>
      </w:r>
      <w:r w:rsidR="00C23472">
        <w:rPr>
          <w:rFonts w:ascii="Calibri" w:hAnsi="Calibri" w:cs="Calibri"/>
          <w:spacing w:val="-1"/>
        </w:rPr>
        <w:t xml:space="preserve"> </w:t>
      </w:r>
      <w:r w:rsidR="00C23472">
        <w:rPr>
          <w:rFonts w:ascii="Calibri" w:hAnsi="Calibri" w:cs="Calibri"/>
        </w:rPr>
        <w:t>The</w:t>
      </w:r>
      <w:r w:rsidR="00C23472">
        <w:rPr>
          <w:rFonts w:ascii="Calibri" w:hAnsi="Calibri" w:cs="Calibri"/>
          <w:spacing w:val="-2"/>
        </w:rPr>
        <w:t xml:space="preserve"> </w:t>
      </w:r>
      <w:r w:rsidR="00C23472">
        <w:rPr>
          <w:rFonts w:ascii="Calibri" w:hAnsi="Calibri" w:cs="Calibri"/>
          <w:spacing w:val="1"/>
        </w:rPr>
        <w:t>DM</w:t>
      </w:r>
      <w:r w:rsidR="00C23472">
        <w:rPr>
          <w:rFonts w:ascii="Calibri" w:hAnsi="Calibri" w:cs="Calibri"/>
        </w:rPr>
        <w:t>H S</w:t>
      </w:r>
      <w:r w:rsidR="00C23472">
        <w:rPr>
          <w:rFonts w:ascii="Calibri" w:hAnsi="Calibri" w:cs="Calibri"/>
          <w:spacing w:val="-1"/>
        </w:rPr>
        <w:t>ub</w:t>
      </w:r>
      <w:r w:rsidR="00C23472">
        <w:rPr>
          <w:rFonts w:ascii="Calibri" w:hAnsi="Calibri" w:cs="Calibri"/>
        </w:rPr>
        <w:t>si</w:t>
      </w:r>
      <w:r w:rsidR="00C23472">
        <w:rPr>
          <w:rFonts w:ascii="Calibri" w:hAnsi="Calibri" w:cs="Calibri"/>
          <w:spacing w:val="-1"/>
        </w:rPr>
        <w:t>d</w:t>
      </w:r>
      <w:r w:rsidR="00C23472">
        <w:rPr>
          <w:rFonts w:ascii="Calibri" w:hAnsi="Calibri" w:cs="Calibri"/>
        </w:rPr>
        <w:t>y</w:t>
      </w:r>
      <w:r w:rsidR="00C23472">
        <w:rPr>
          <w:rFonts w:ascii="Calibri" w:hAnsi="Calibri" w:cs="Calibri"/>
          <w:spacing w:val="-1"/>
        </w:rPr>
        <w:t xml:space="preserve"> </w:t>
      </w:r>
      <w:r w:rsidR="00C23472">
        <w:rPr>
          <w:rFonts w:ascii="Calibri" w:hAnsi="Calibri" w:cs="Calibri"/>
          <w:spacing w:val="-3"/>
        </w:rPr>
        <w:t>A</w:t>
      </w:r>
      <w:r w:rsidR="00C23472">
        <w:rPr>
          <w:rFonts w:ascii="Calibri" w:hAnsi="Calibri" w:cs="Calibri"/>
          <w:spacing w:val="-1"/>
        </w:rPr>
        <w:t>d</w:t>
      </w:r>
      <w:r w:rsidR="00C23472">
        <w:rPr>
          <w:rFonts w:ascii="Calibri" w:hAnsi="Calibri" w:cs="Calibri"/>
          <w:spacing w:val="1"/>
        </w:rPr>
        <w:t>m</w:t>
      </w:r>
      <w:r w:rsidR="00C23472">
        <w:rPr>
          <w:rFonts w:ascii="Calibri" w:hAnsi="Calibri" w:cs="Calibri"/>
        </w:rPr>
        <w:t>i</w:t>
      </w:r>
      <w:r w:rsidR="00C23472">
        <w:rPr>
          <w:rFonts w:ascii="Calibri" w:hAnsi="Calibri" w:cs="Calibri"/>
          <w:spacing w:val="-1"/>
        </w:rPr>
        <w:t>n</w:t>
      </w:r>
      <w:r w:rsidR="00C23472">
        <w:rPr>
          <w:rFonts w:ascii="Calibri" w:hAnsi="Calibri" w:cs="Calibri"/>
        </w:rPr>
        <w:t>istra</w:t>
      </w:r>
      <w:r w:rsidR="00C23472">
        <w:rPr>
          <w:rFonts w:ascii="Calibri" w:hAnsi="Calibri" w:cs="Calibri"/>
          <w:spacing w:val="-2"/>
        </w:rPr>
        <w:t>t</w:t>
      </w:r>
      <w:r w:rsidR="00C23472">
        <w:rPr>
          <w:rFonts w:ascii="Calibri" w:hAnsi="Calibri" w:cs="Calibri"/>
          <w:spacing w:val="1"/>
        </w:rPr>
        <w:t>o</w:t>
      </w:r>
      <w:r w:rsidR="00C23472">
        <w:rPr>
          <w:rFonts w:ascii="Calibri" w:hAnsi="Calibri" w:cs="Calibri"/>
        </w:rPr>
        <w:t xml:space="preserve">r, </w:t>
      </w:r>
      <w:r w:rsidR="00C23472">
        <w:rPr>
          <w:rFonts w:ascii="Calibri" w:hAnsi="Calibri" w:cs="Calibri"/>
          <w:spacing w:val="-2"/>
        </w:rPr>
        <w:t>C</w:t>
      </w:r>
      <w:r w:rsidR="00C23472">
        <w:rPr>
          <w:rFonts w:ascii="Calibri" w:hAnsi="Calibri" w:cs="Calibri"/>
        </w:rPr>
        <w:t>ath</w:t>
      </w:r>
      <w:r w:rsidR="00C23472">
        <w:rPr>
          <w:rFonts w:ascii="Calibri" w:hAnsi="Calibri" w:cs="Calibri"/>
          <w:spacing w:val="1"/>
        </w:rPr>
        <w:t>o</w:t>
      </w:r>
      <w:r w:rsidR="00C23472">
        <w:rPr>
          <w:rFonts w:ascii="Calibri" w:hAnsi="Calibri" w:cs="Calibri"/>
        </w:rPr>
        <w:t>lic</w:t>
      </w:r>
      <w:r w:rsidR="00C23472">
        <w:rPr>
          <w:rFonts w:ascii="Calibri" w:hAnsi="Calibri" w:cs="Calibri"/>
          <w:spacing w:val="-2"/>
        </w:rPr>
        <w:t xml:space="preserve"> </w:t>
      </w:r>
      <w:r w:rsidR="00C23472">
        <w:rPr>
          <w:rFonts w:ascii="Calibri" w:hAnsi="Calibri" w:cs="Calibri"/>
        </w:rPr>
        <w:t>Cha</w:t>
      </w:r>
      <w:r w:rsidR="00C23472">
        <w:rPr>
          <w:rFonts w:ascii="Calibri" w:hAnsi="Calibri" w:cs="Calibri"/>
          <w:spacing w:val="-3"/>
        </w:rPr>
        <w:t>r</w:t>
      </w:r>
      <w:r w:rsidR="00C23472">
        <w:rPr>
          <w:rFonts w:ascii="Calibri" w:hAnsi="Calibri" w:cs="Calibri"/>
        </w:rPr>
        <w:t>ities,</w:t>
      </w:r>
      <w:r w:rsidR="00C23472">
        <w:rPr>
          <w:rFonts w:ascii="Calibri" w:hAnsi="Calibri" w:cs="Calibri"/>
          <w:spacing w:val="-1"/>
        </w:rPr>
        <w:t xml:space="preserve"> </w:t>
      </w:r>
      <w:r w:rsidR="00C23472">
        <w:rPr>
          <w:rFonts w:ascii="Calibri" w:hAnsi="Calibri" w:cs="Calibri"/>
        </w:rPr>
        <w:t>enter</w:t>
      </w:r>
      <w:r w:rsidR="00C23472">
        <w:rPr>
          <w:rFonts w:ascii="Calibri" w:hAnsi="Calibri" w:cs="Calibri"/>
          <w:spacing w:val="1"/>
        </w:rPr>
        <w:t>e</w:t>
      </w:r>
      <w:r w:rsidR="00C23472">
        <w:rPr>
          <w:rFonts w:ascii="Calibri" w:hAnsi="Calibri" w:cs="Calibri"/>
        </w:rPr>
        <w:t>d</w:t>
      </w:r>
      <w:r w:rsidR="00C23472">
        <w:rPr>
          <w:rFonts w:ascii="Calibri" w:hAnsi="Calibri" w:cs="Calibri"/>
          <w:spacing w:val="-3"/>
        </w:rPr>
        <w:t xml:space="preserve"> </w:t>
      </w:r>
      <w:r w:rsidR="00C23472">
        <w:rPr>
          <w:rFonts w:ascii="Calibri" w:hAnsi="Calibri" w:cs="Calibri"/>
        </w:rPr>
        <w:t>into</w:t>
      </w:r>
      <w:r w:rsidR="00C23472">
        <w:rPr>
          <w:rFonts w:ascii="Calibri" w:hAnsi="Calibri" w:cs="Calibri"/>
          <w:spacing w:val="1"/>
        </w:rPr>
        <w:t xml:space="preserve"> </w:t>
      </w:r>
      <w:r w:rsidR="00C23472">
        <w:rPr>
          <w:rFonts w:ascii="Calibri" w:hAnsi="Calibri" w:cs="Calibri"/>
        </w:rPr>
        <w:t>a</w:t>
      </w:r>
      <w:r w:rsidR="00C23472">
        <w:rPr>
          <w:rFonts w:ascii="Calibri" w:hAnsi="Calibri" w:cs="Calibri"/>
          <w:spacing w:val="1"/>
        </w:rPr>
        <w:t xml:space="preserve"> </w:t>
      </w:r>
      <w:r w:rsidR="00C23472">
        <w:rPr>
          <w:rFonts w:ascii="Calibri" w:hAnsi="Calibri" w:cs="Calibri"/>
          <w:spacing w:val="-3"/>
        </w:rPr>
        <w:t>H</w:t>
      </w:r>
      <w:r w:rsidR="00C23472">
        <w:rPr>
          <w:rFonts w:ascii="Calibri" w:hAnsi="Calibri" w:cs="Calibri"/>
          <w:spacing w:val="1"/>
        </w:rPr>
        <w:t>o</w:t>
      </w:r>
      <w:r w:rsidR="00C23472">
        <w:rPr>
          <w:rFonts w:ascii="Calibri" w:hAnsi="Calibri" w:cs="Calibri"/>
          <w:spacing w:val="-1"/>
        </w:rPr>
        <w:t>u</w:t>
      </w:r>
      <w:r w:rsidR="00C23472">
        <w:rPr>
          <w:rFonts w:ascii="Calibri" w:hAnsi="Calibri" w:cs="Calibri"/>
        </w:rPr>
        <w:t>si</w:t>
      </w:r>
      <w:r w:rsidR="00C23472">
        <w:rPr>
          <w:rFonts w:ascii="Calibri" w:hAnsi="Calibri" w:cs="Calibri"/>
          <w:spacing w:val="-1"/>
        </w:rPr>
        <w:t>n</w:t>
      </w:r>
      <w:r w:rsidR="00C23472">
        <w:rPr>
          <w:rFonts w:ascii="Calibri" w:hAnsi="Calibri" w:cs="Calibri"/>
        </w:rPr>
        <w:t>g</w:t>
      </w:r>
      <w:r w:rsidR="00C23472">
        <w:rPr>
          <w:rFonts w:ascii="Calibri" w:hAnsi="Calibri" w:cs="Calibri"/>
          <w:spacing w:val="-1"/>
        </w:rPr>
        <w:t xml:space="preserve"> </w:t>
      </w:r>
      <w:r w:rsidR="00C23472">
        <w:rPr>
          <w:rFonts w:ascii="Calibri" w:hAnsi="Calibri" w:cs="Calibri"/>
        </w:rPr>
        <w:t>Assista</w:t>
      </w:r>
      <w:r w:rsidR="00C23472">
        <w:rPr>
          <w:rFonts w:ascii="Calibri" w:hAnsi="Calibri" w:cs="Calibri"/>
          <w:spacing w:val="-1"/>
        </w:rPr>
        <w:t>n</w:t>
      </w:r>
      <w:r w:rsidR="00C23472">
        <w:rPr>
          <w:rFonts w:ascii="Calibri" w:hAnsi="Calibri" w:cs="Calibri"/>
        </w:rPr>
        <w:t>ce</w:t>
      </w:r>
      <w:r w:rsidR="00C23472">
        <w:rPr>
          <w:rFonts w:ascii="Calibri" w:hAnsi="Calibri" w:cs="Calibri"/>
          <w:spacing w:val="-1"/>
        </w:rPr>
        <w:t xml:space="preserve"> </w:t>
      </w:r>
      <w:r w:rsidR="00C23472">
        <w:rPr>
          <w:rFonts w:ascii="Calibri" w:hAnsi="Calibri" w:cs="Calibri"/>
          <w:spacing w:val="1"/>
        </w:rPr>
        <w:t>P</w:t>
      </w:r>
      <w:r w:rsidR="00C23472">
        <w:rPr>
          <w:rFonts w:ascii="Calibri" w:hAnsi="Calibri" w:cs="Calibri"/>
          <w:spacing w:val="-3"/>
        </w:rPr>
        <w:t>a</w:t>
      </w:r>
      <w:r w:rsidR="00C23472">
        <w:rPr>
          <w:rFonts w:ascii="Calibri" w:hAnsi="Calibri" w:cs="Calibri"/>
          <w:spacing w:val="-1"/>
        </w:rPr>
        <w:t>y</w:t>
      </w:r>
      <w:r w:rsidR="00C23472">
        <w:rPr>
          <w:rFonts w:ascii="Calibri" w:hAnsi="Calibri" w:cs="Calibri"/>
          <w:spacing w:val="1"/>
        </w:rPr>
        <w:t>m</w:t>
      </w:r>
      <w:r w:rsidR="00C23472">
        <w:rPr>
          <w:rFonts w:ascii="Calibri" w:hAnsi="Calibri" w:cs="Calibri"/>
        </w:rPr>
        <w:t>ent (H</w:t>
      </w:r>
      <w:r w:rsidR="00C23472">
        <w:rPr>
          <w:rFonts w:ascii="Calibri" w:hAnsi="Calibri" w:cs="Calibri"/>
          <w:spacing w:val="-1"/>
        </w:rPr>
        <w:t>A</w:t>
      </w:r>
      <w:r w:rsidR="00C23472">
        <w:rPr>
          <w:rFonts w:ascii="Calibri" w:hAnsi="Calibri" w:cs="Calibri"/>
          <w:spacing w:val="1"/>
        </w:rPr>
        <w:t>P</w:t>
      </w:r>
      <w:r w:rsidR="00C23472">
        <w:rPr>
          <w:rFonts w:ascii="Calibri" w:hAnsi="Calibri" w:cs="Calibri"/>
        </w:rPr>
        <w:t>)</w:t>
      </w:r>
      <w:r w:rsidR="00C23472">
        <w:rPr>
          <w:rFonts w:ascii="Calibri" w:hAnsi="Calibri" w:cs="Calibri"/>
          <w:spacing w:val="1"/>
        </w:rPr>
        <w:t xml:space="preserve"> </w:t>
      </w:r>
      <w:r w:rsidR="00C23472">
        <w:rPr>
          <w:rFonts w:ascii="Calibri" w:hAnsi="Calibri" w:cs="Calibri"/>
        </w:rPr>
        <w:t>- l</w:t>
      </w:r>
      <w:r w:rsidR="00C23472">
        <w:rPr>
          <w:rFonts w:ascii="Calibri" w:hAnsi="Calibri" w:cs="Calibri"/>
          <w:spacing w:val="-3"/>
        </w:rPr>
        <w:t>i</w:t>
      </w:r>
      <w:r w:rsidR="00C23472">
        <w:rPr>
          <w:rFonts w:ascii="Calibri" w:hAnsi="Calibri" w:cs="Calibri"/>
        </w:rPr>
        <w:t>ke</w:t>
      </w:r>
      <w:r w:rsidR="00C23472">
        <w:rPr>
          <w:rFonts w:ascii="Calibri" w:hAnsi="Calibri" w:cs="Calibri"/>
          <w:spacing w:val="-1"/>
        </w:rPr>
        <w:t xml:space="preserve"> </w:t>
      </w:r>
      <w:r w:rsidR="00C23472">
        <w:rPr>
          <w:rFonts w:ascii="Calibri" w:hAnsi="Calibri" w:cs="Calibri"/>
        </w:rPr>
        <w:t>c</w:t>
      </w:r>
      <w:r w:rsidR="00C23472">
        <w:rPr>
          <w:rFonts w:ascii="Calibri" w:hAnsi="Calibri" w:cs="Calibri"/>
          <w:spacing w:val="1"/>
        </w:rPr>
        <w:t>o</w:t>
      </w:r>
      <w:r w:rsidR="00C23472">
        <w:rPr>
          <w:rFonts w:ascii="Calibri" w:hAnsi="Calibri" w:cs="Calibri"/>
          <w:spacing w:val="-1"/>
        </w:rPr>
        <w:t>n</w:t>
      </w:r>
      <w:r w:rsidR="00C23472">
        <w:rPr>
          <w:rFonts w:ascii="Calibri" w:hAnsi="Calibri" w:cs="Calibri"/>
        </w:rPr>
        <w:t>tr</w:t>
      </w:r>
      <w:r w:rsidR="00C23472">
        <w:rPr>
          <w:rFonts w:ascii="Calibri" w:hAnsi="Calibri" w:cs="Calibri"/>
          <w:spacing w:val="-2"/>
        </w:rPr>
        <w:t>a</w:t>
      </w:r>
      <w:r w:rsidR="00C23472">
        <w:rPr>
          <w:rFonts w:ascii="Calibri" w:hAnsi="Calibri" w:cs="Calibri"/>
        </w:rPr>
        <w:t>ct</w:t>
      </w:r>
      <w:r w:rsidR="00C23472">
        <w:rPr>
          <w:rFonts w:ascii="Calibri" w:hAnsi="Calibri" w:cs="Calibri"/>
          <w:spacing w:val="-1"/>
        </w:rPr>
        <w:t xml:space="preserve"> </w:t>
      </w:r>
      <w:r w:rsidR="00C23472">
        <w:rPr>
          <w:rFonts w:ascii="Calibri" w:hAnsi="Calibri" w:cs="Calibri"/>
        </w:rPr>
        <w:t xml:space="preserve">with </w:t>
      </w:r>
      <w:r w:rsidR="00C23472">
        <w:rPr>
          <w:rFonts w:ascii="Calibri" w:hAnsi="Calibri" w:cs="Calibri"/>
          <w:spacing w:val="-3"/>
        </w:rPr>
        <w:t>H</w:t>
      </w:r>
      <w:r w:rsidR="00C23472">
        <w:rPr>
          <w:rFonts w:ascii="Calibri" w:hAnsi="Calibri" w:cs="Calibri"/>
          <w:spacing w:val="1"/>
        </w:rPr>
        <w:t>o</w:t>
      </w:r>
      <w:r w:rsidR="00C23472">
        <w:rPr>
          <w:rFonts w:ascii="Calibri" w:hAnsi="Calibri" w:cs="Calibri"/>
        </w:rPr>
        <w:t>lsten</w:t>
      </w:r>
      <w:r w:rsidR="00C23472">
        <w:rPr>
          <w:rFonts w:ascii="Calibri" w:hAnsi="Calibri" w:cs="Calibri"/>
          <w:spacing w:val="-2"/>
        </w:rPr>
        <w:t xml:space="preserve"> </w:t>
      </w:r>
      <w:r w:rsidR="00C23472">
        <w:rPr>
          <w:rFonts w:ascii="Calibri" w:hAnsi="Calibri" w:cs="Calibri"/>
          <w:spacing w:val="-1"/>
        </w:rPr>
        <w:t>D</w:t>
      </w:r>
      <w:r w:rsidR="00C23472">
        <w:rPr>
          <w:rFonts w:ascii="Calibri" w:hAnsi="Calibri" w:cs="Calibri"/>
        </w:rPr>
        <w:t>e</w:t>
      </w:r>
      <w:r w:rsidR="00C23472">
        <w:rPr>
          <w:rFonts w:ascii="Calibri" w:hAnsi="Calibri" w:cs="Calibri"/>
          <w:spacing w:val="-1"/>
        </w:rPr>
        <w:t>v</w:t>
      </w:r>
      <w:r w:rsidR="00C23472">
        <w:rPr>
          <w:rFonts w:ascii="Calibri" w:hAnsi="Calibri" w:cs="Calibri"/>
        </w:rPr>
        <w:t>el</w:t>
      </w:r>
      <w:r w:rsidR="00C23472">
        <w:rPr>
          <w:rFonts w:ascii="Calibri" w:hAnsi="Calibri" w:cs="Calibri"/>
          <w:spacing w:val="1"/>
        </w:rPr>
        <w:t>o</w:t>
      </w:r>
      <w:r w:rsidR="00C23472">
        <w:rPr>
          <w:rFonts w:ascii="Calibri" w:hAnsi="Calibri" w:cs="Calibri"/>
          <w:spacing w:val="-3"/>
        </w:rPr>
        <w:t>p</w:t>
      </w:r>
      <w:r w:rsidR="00C23472">
        <w:rPr>
          <w:rFonts w:ascii="Calibri" w:hAnsi="Calibri" w:cs="Calibri"/>
          <w:spacing w:val="1"/>
        </w:rPr>
        <w:t>m</w:t>
      </w:r>
      <w:r w:rsidR="00C23472">
        <w:rPr>
          <w:rFonts w:ascii="Calibri" w:hAnsi="Calibri" w:cs="Calibri"/>
        </w:rPr>
        <w:t>ent,</w:t>
      </w:r>
      <w:r w:rsidR="00C23472">
        <w:rPr>
          <w:rFonts w:ascii="Calibri" w:hAnsi="Calibri" w:cs="Calibri"/>
          <w:spacing w:val="-2"/>
        </w:rPr>
        <w:t xml:space="preserve"> </w:t>
      </w:r>
      <w:r w:rsidR="00C23472">
        <w:rPr>
          <w:rFonts w:ascii="Calibri" w:hAnsi="Calibri" w:cs="Calibri"/>
        </w:rPr>
        <w:t>a</w:t>
      </w:r>
      <w:r w:rsidR="00C23472">
        <w:rPr>
          <w:rFonts w:ascii="Calibri" w:hAnsi="Calibri" w:cs="Calibri"/>
          <w:spacing w:val="1"/>
        </w:rPr>
        <w:t xml:space="preserve"> </w:t>
      </w:r>
      <w:r w:rsidR="00C23472">
        <w:rPr>
          <w:rFonts w:ascii="Calibri" w:hAnsi="Calibri" w:cs="Calibri"/>
          <w:spacing w:val="-1"/>
        </w:rPr>
        <w:t>p</w:t>
      </w:r>
      <w:r w:rsidR="00C23472">
        <w:rPr>
          <w:rFonts w:ascii="Calibri" w:hAnsi="Calibri" w:cs="Calibri"/>
        </w:rPr>
        <w:t>ri</w:t>
      </w:r>
      <w:r w:rsidR="00C23472">
        <w:rPr>
          <w:rFonts w:ascii="Calibri" w:hAnsi="Calibri" w:cs="Calibri"/>
          <w:spacing w:val="-2"/>
        </w:rPr>
        <w:t>v</w:t>
      </w:r>
      <w:r w:rsidR="00C23472">
        <w:rPr>
          <w:rFonts w:ascii="Calibri" w:hAnsi="Calibri" w:cs="Calibri"/>
        </w:rPr>
        <w:t>ate</w:t>
      </w:r>
      <w:r w:rsidR="00C23472">
        <w:rPr>
          <w:rFonts w:ascii="Calibri" w:hAnsi="Calibri" w:cs="Calibri"/>
          <w:spacing w:val="-1"/>
        </w:rPr>
        <w:t xml:space="preserve"> </w:t>
      </w:r>
      <w:r w:rsidR="00C23472">
        <w:rPr>
          <w:rFonts w:ascii="Calibri" w:hAnsi="Calibri" w:cs="Calibri"/>
          <w:spacing w:val="1"/>
        </w:rPr>
        <w:t>m</w:t>
      </w:r>
      <w:r w:rsidR="00C23472">
        <w:rPr>
          <w:rFonts w:ascii="Calibri" w:hAnsi="Calibri" w:cs="Calibri"/>
        </w:rPr>
        <w:t>ar</w:t>
      </w:r>
      <w:r w:rsidR="00C23472">
        <w:rPr>
          <w:rFonts w:ascii="Calibri" w:hAnsi="Calibri" w:cs="Calibri"/>
          <w:spacing w:val="-2"/>
        </w:rPr>
        <w:t>k</w:t>
      </w:r>
      <w:r w:rsidR="00C23472">
        <w:rPr>
          <w:rFonts w:ascii="Calibri" w:hAnsi="Calibri" w:cs="Calibri"/>
        </w:rPr>
        <w:t>et</w:t>
      </w:r>
      <w:r w:rsidR="00C23472">
        <w:rPr>
          <w:rFonts w:ascii="Calibri" w:hAnsi="Calibri" w:cs="Calibri"/>
          <w:spacing w:val="1"/>
        </w:rPr>
        <w:t xml:space="preserve"> </w:t>
      </w:r>
      <w:r w:rsidR="00C23472">
        <w:rPr>
          <w:rFonts w:ascii="Calibri" w:hAnsi="Calibri" w:cs="Calibri"/>
        </w:rPr>
        <w:t>la</w:t>
      </w:r>
      <w:r w:rsidR="00C23472">
        <w:rPr>
          <w:rFonts w:ascii="Calibri" w:hAnsi="Calibri" w:cs="Calibri"/>
          <w:spacing w:val="-1"/>
        </w:rPr>
        <w:t>nd</w:t>
      </w:r>
      <w:r w:rsidR="00C23472">
        <w:rPr>
          <w:rFonts w:ascii="Calibri" w:hAnsi="Calibri" w:cs="Calibri"/>
          <w:spacing w:val="-3"/>
        </w:rPr>
        <w:t>l</w:t>
      </w:r>
      <w:r w:rsidR="00C23472">
        <w:rPr>
          <w:rFonts w:ascii="Calibri" w:hAnsi="Calibri" w:cs="Calibri"/>
          <w:spacing w:val="1"/>
        </w:rPr>
        <w:t>o</w:t>
      </w:r>
      <w:r w:rsidR="00C23472">
        <w:rPr>
          <w:rFonts w:ascii="Calibri" w:hAnsi="Calibri" w:cs="Calibri"/>
        </w:rPr>
        <w:t>r</w:t>
      </w:r>
      <w:r w:rsidR="00C23472">
        <w:rPr>
          <w:rFonts w:ascii="Calibri" w:hAnsi="Calibri" w:cs="Calibri"/>
          <w:spacing w:val="-1"/>
        </w:rPr>
        <w:t>d</w:t>
      </w:r>
      <w:r w:rsidR="00C23472">
        <w:rPr>
          <w:rFonts w:ascii="Calibri" w:hAnsi="Calibri" w:cs="Calibri"/>
        </w:rPr>
        <w:t xml:space="preserve">, </w:t>
      </w:r>
      <w:r w:rsidR="00C23472">
        <w:rPr>
          <w:rFonts w:ascii="Calibri" w:hAnsi="Calibri" w:cs="Calibri"/>
          <w:spacing w:val="-2"/>
        </w:rPr>
        <w:t>f</w:t>
      </w:r>
      <w:r w:rsidR="00C23472">
        <w:rPr>
          <w:rFonts w:ascii="Calibri" w:hAnsi="Calibri" w:cs="Calibri"/>
          <w:spacing w:val="1"/>
        </w:rPr>
        <w:t>o</w:t>
      </w:r>
      <w:r w:rsidR="00C23472">
        <w:rPr>
          <w:rFonts w:ascii="Calibri" w:hAnsi="Calibri" w:cs="Calibri"/>
        </w:rPr>
        <w:t>r t</w:t>
      </w:r>
      <w:r w:rsidR="00C23472">
        <w:rPr>
          <w:rFonts w:ascii="Calibri" w:hAnsi="Calibri" w:cs="Calibri"/>
          <w:spacing w:val="-3"/>
        </w:rPr>
        <w:t>h</w:t>
      </w:r>
      <w:r w:rsidR="00C23472">
        <w:rPr>
          <w:rFonts w:ascii="Calibri" w:hAnsi="Calibri" w:cs="Calibri"/>
        </w:rPr>
        <w:t>e</w:t>
      </w:r>
      <w:r w:rsidR="00C23472">
        <w:rPr>
          <w:rFonts w:ascii="Calibri" w:hAnsi="Calibri" w:cs="Calibri"/>
          <w:spacing w:val="1"/>
        </w:rPr>
        <w:t xml:space="preserve"> </w:t>
      </w:r>
      <w:r w:rsidR="00C23472">
        <w:rPr>
          <w:rFonts w:ascii="Calibri" w:hAnsi="Calibri" w:cs="Calibri"/>
          <w:spacing w:val="-2"/>
        </w:rPr>
        <w:t>2</w:t>
      </w:r>
      <w:r w:rsidR="00C23472">
        <w:rPr>
          <w:rFonts w:ascii="Calibri" w:hAnsi="Calibri" w:cs="Calibri"/>
        </w:rPr>
        <w:t>0</w:t>
      </w:r>
      <w:r w:rsidR="00C23472">
        <w:rPr>
          <w:rFonts w:ascii="Calibri" w:hAnsi="Calibri" w:cs="Calibri"/>
          <w:spacing w:val="1"/>
        </w:rPr>
        <w:t xml:space="preserve"> </w:t>
      </w:r>
      <w:r w:rsidR="00C23472">
        <w:rPr>
          <w:rFonts w:ascii="Calibri" w:hAnsi="Calibri" w:cs="Calibri"/>
        </w:rPr>
        <w:t>u</w:t>
      </w:r>
      <w:r w:rsidR="00C23472">
        <w:rPr>
          <w:rFonts w:ascii="Calibri" w:hAnsi="Calibri" w:cs="Calibri"/>
          <w:spacing w:val="-1"/>
        </w:rPr>
        <w:t>n</w:t>
      </w:r>
      <w:r w:rsidR="00C23472">
        <w:rPr>
          <w:rFonts w:ascii="Calibri" w:hAnsi="Calibri" w:cs="Calibri"/>
        </w:rPr>
        <w:t>its</w:t>
      </w:r>
      <w:r w:rsidR="00C23472">
        <w:rPr>
          <w:rFonts w:ascii="Calibri" w:hAnsi="Calibri" w:cs="Calibri"/>
          <w:spacing w:val="3"/>
        </w:rPr>
        <w:t xml:space="preserve"> </w:t>
      </w:r>
      <w:r w:rsidR="00C23472">
        <w:rPr>
          <w:rFonts w:ascii="Calibri" w:hAnsi="Calibri" w:cs="Calibri"/>
        </w:rPr>
        <w:t>(</w:t>
      </w:r>
      <w:r w:rsidR="00C23472">
        <w:rPr>
          <w:rFonts w:ascii="Calibri" w:hAnsi="Calibri" w:cs="Calibri"/>
          <w:spacing w:val="-1"/>
        </w:rPr>
        <w:t>n</w:t>
      </w:r>
      <w:r w:rsidR="00C23472">
        <w:rPr>
          <w:rFonts w:ascii="Calibri" w:hAnsi="Calibri" w:cs="Calibri"/>
        </w:rPr>
        <w:t>o</w:t>
      </w:r>
      <w:r w:rsidR="00C23472">
        <w:rPr>
          <w:rFonts w:ascii="Calibri" w:hAnsi="Calibri" w:cs="Calibri"/>
          <w:spacing w:val="-1"/>
        </w:rPr>
        <w:t xml:space="preserve"> m</w:t>
      </w:r>
      <w:r w:rsidR="00C23472">
        <w:rPr>
          <w:rFonts w:ascii="Calibri" w:hAnsi="Calibri" w:cs="Calibri"/>
          <w:spacing w:val="1"/>
        </w:rPr>
        <w:t>o</w:t>
      </w:r>
      <w:r w:rsidR="00C23472">
        <w:rPr>
          <w:rFonts w:ascii="Calibri" w:hAnsi="Calibri" w:cs="Calibri"/>
        </w:rPr>
        <w:t>re than</w:t>
      </w:r>
      <w:r w:rsidR="00C23472">
        <w:rPr>
          <w:rFonts w:ascii="Calibri" w:hAnsi="Calibri" w:cs="Calibri"/>
          <w:spacing w:val="-1"/>
        </w:rPr>
        <w:t xml:space="preserve"> </w:t>
      </w:r>
      <w:r w:rsidR="00C23472">
        <w:rPr>
          <w:rFonts w:ascii="Calibri" w:hAnsi="Calibri" w:cs="Calibri"/>
          <w:spacing w:val="1"/>
        </w:rPr>
        <w:t>2</w:t>
      </w:r>
      <w:r w:rsidR="00C23472">
        <w:rPr>
          <w:rFonts w:ascii="Calibri" w:hAnsi="Calibri" w:cs="Calibri"/>
          <w:spacing w:val="-2"/>
        </w:rPr>
        <w:t>5</w:t>
      </w:r>
      <w:r w:rsidR="00C23472">
        <w:rPr>
          <w:rFonts w:ascii="Calibri" w:hAnsi="Calibri" w:cs="Calibri"/>
        </w:rPr>
        <w:t>%</w:t>
      </w:r>
      <w:r w:rsidR="00C23472">
        <w:rPr>
          <w:rFonts w:ascii="Calibri" w:hAnsi="Calibri" w:cs="Calibri"/>
          <w:spacing w:val="-1"/>
        </w:rPr>
        <w:t xml:space="preserve"> </w:t>
      </w:r>
      <w:r w:rsidR="00C23472">
        <w:rPr>
          <w:rFonts w:ascii="Calibri" w:hAnsi="Calibri" w:cs="Calibri"/>
          <w:spacing w:val="1"/>
        </w:rPr>
        <w:t>o</w:t>
      </w:r>
      <w:r w:rsidR="00C23472">
        <w:rPr>
          <w:rFonts w:ascii="Calibri" w:hAnsi="Calibri" w:cs="Calibri"/>
        </w:rPr>
        <w:t>f u</w:t>
      </w:r>
      <w:r w:rsidR="00C23472">
        <w:rPr>
          <w:rFonts w:ascii="Calibri" w:hAnsi="Calibri" w:cs="Calibri"/>
          <w:spacing w:val="-1"/>
        </w:rPr>
        <w:t>n</w:t>
      </w:r>
      <w:r w:rsidR="00C23472">
        <w:rPr>
          <w:rFonts w:ascii="Calibri" w:hAnsi="Calibri" w:cs="Calibri"/>
        </w:rPr>
        <w:t>its</w:t>
      </w:r>
      <w:r w:rsidR="00C23472">
        <w:rPr>
          <w:rFonts w:ascii="Calibri" w:hAnsi="Calibri" w:cs="Calibri"/>
          <w:spacing w:val="-1"/>
        </w:rPr>
        <w:t xml:space="preserve"> </w:t>
      </w:r>
      <w:r w:rsidR="00C23472">
        <w:rPr>
          <w:rFonts w:ascii="Calibri" w:hAnsi="Calibri" w:cs="Calibri"/>
          <w:spacing w:val="1"/>
        </w:rPr>
        <w:t>o</w:t>
      </w:r>
      <w:r w:rsidR="00C23472">
        <w:rPr>
          <w:rFonts w:ascii="Calibri" w:hAnsi="Calibri" w:cs="Calibri"/>
          <w:spacing w:val="-2"/>
        </w:rPr>
        <w:t>c</w:t>
      </w:r>
      <w:r w:rsidR="00C23472">
        <w:rPr>
          <w:rFonts w:ascii="Calibri" w:hAnsi="Calibri" w:cs="Calibri"/>
        </w:rPr>
        <w:t>cu</w:t>
      </w:r>
      <w:r w:rsidR="00C23472">
        <w:rPr>
          <w:rFonts w:ascii="Calibri" w:hAnsi="Calibri" w:cs="Calibri"/>
          <w:spacing w:val="-1"/>
        </w:rPr>
        <w:t>p</w:t>
      </w:r>
      <w:r w:rsidR="00C23472">
        <w:rPr>
          <w:rFonts w:ascii="Calibri" w:hAnsi="Calibri" w:cs="Calibri"/>
        </w:rPr>
        <w:t>ied by</w:t>
      </w:r>
      <w:r w:rsidR="00C23472">
        <w:rPr>
          <w:rFonts w:ascii="Calibri" w:hAnsi="Calibri" w:cs="Calibri"/>
          <w:spacing w:val="2"/>
        </w:rPr>
        <w:t xml:space="preserve"> </w:t>
      </w:r>
      <w:r w:rsidR="00944086">
        <w:rPr>
          <w:rFonts w:ascii="Calibri" w:hAnsi="Calibri" w:cs="Calibri"/>
        </w:rPr>
        <w:t>Class Members</w:t>
      </w:r>
      <w:r w:rsidR="00C23472">
        <w:rPr>
          <w:rFonts w:ascii="Calibri" w:hAnsi="Calibri" w:cs="Calibri"/>
        </w:rPr>
        <w:t xml:space="preserve"> per</w:t>
      </w:r>
      <w:r w:rsidR="00C23472">
        <w:rPr>
          <w:rFonts w:ascii="Calibri" w:hAnsi="Calibri" w:cs="Calibri"/>
          <w:spacing w:val="-2"/>
        </w:rPr>
        <w:t xml:space="preserve"> </w:t>
      </w:r>
      <w:r w:rsidR="00C23472">
        <w:rPr>
          <w:rFonts w:ascii="Calibri" w:hAnsi="Calibri" w:cs="Calibri"/>
        </w:rPr>
        <w:t>b</w:t>
      </w:r>
      <w:r w:rsidR="00C23472">
        <w:rPr>
          <w:rFonts w:ascii="Calibri" w:hAnsi="Calibri" w:cs="Calibri"/>
          <w:spacing w:val="-1"/>
        </w:rPr>
        <w:t>u</w:t>
      </w:r>
      <w:r w:rsidR="00C23472">
        <w:rPr>
          <w:rFonts w:ascii="Calibri" w:hAnsi="Calibri" w:cs="Calibri"/>
        </w:rPr>
        <w:t>il</w:t>
      </w:r>
      <w:r w:rsidR="00C23472">
        <w:rPr>
          <w:rFonts w:ascii="Calibri" w:hAnsi="Calibri" w:cs="Calibri"/>
          <w:spacing w:val="-1"/>
        </w:rPr>
        <w:t>d</w:t>
      </w:r>
      <w:r w:rsidR="00C23472">
        <w:rPr>
          <w:rFonts w:ascii="Calibri" w:hAnsi="Calibri" w:cs="Calibri"/>
        </w:rPr>
        <w:t>i</w:t>
      </w:r>
      <w:r w:rsidR="00C23472">
        <w:rPr>
          <w:rFonts w:ascii="Calibri" w:hAnsi="Calibri" w:cs="Calibri"/>
          <w:spacing w:val="-1"/>
        </w:rPr>
        <w:t>n</w:t>
      </w:r>
      <w:r w:rsidR="00C23472">
        <w:rPr>
          <w:rFonts w:ascii="Calibri" w:hAnsi="Calibri" w:cs="Calibri"/>
        </w:rPr>
        <w:t>g).</w:t>
      </w:r>
      <w:r w:rsidR="00C23472">
        <w:rPr>
          <w:rFonts w:ascii="Calibri" w:hAnsi="Calibri" w:cs="Calibri"/>
          <w:spacing w:val="50"/>
        </w:rPr>
        <w:t xml:space="preserve"> </w:t>
      </w:r>
      <w:r w:rsidR="00C23472">
        <w:rPr>
          <w:rFonts w:ascii="Calibri" w:hAnsi="Calibri" w:cs="Calibri"/>
        </w:rPr>
        <w:t>Un</w:t>
      </w:r>
      <w:r w:rsidR="00C23472">
        <w:rPr>
          <w:rFonts w:ascii="Calibri" w:hAnsi="Calibri" w:cs="Calibri"/>
          <w:spacing w:val="-1"/>
        </w:rPr>
        <w:t>i</w:t>
      </w:r>
      <w:r w:rsidR="00C23472">
        <w:rPr>
          <w:rFonts w:ascii="Calibri" w:hAnsi="Calibri" w:cs="Calibri"/>
        </w:rPr>
        <w:t>ts</w:t>
      </w:r>
      <w:r w:rsidR="00C23472">
        <w:rPr>
          <w:rFonts w:ascii="Calibri" w:hAnsi="Calibri" w:cs="Calibri"/>
          <w:spacing w:val="1"/>
        </w:rPr>
        <w:t xml:space="preserve"> </w:t>
      </w:r>
      <w:r w:rsidR="00C23472">
        <w:rPr>
          <w:rFonts w:ascii="Calibri" w:hAnsi="Calibri" w:cs="Calibri"/>
        </w:rPr>
        <w:t>are</w:t>
      </w:r>
      <w:r w:rsidR="00C23472">
        <w:rPr>
          <w:rFonts w:ascii="Calibri" w:hAnsi="Calibri" w:cs="Calibri"/>
          <w:spacing w:val="-2"/>
        </w:rPr>
        <w:t xml:space="preserve"> </w:t>
      </w:r>
      <w:r w:rsidR="00C23472">
        <w:rPr>
          <w:rFonts w:ascii="Calibri" w:hAnsi="Calibri" w:cs="Calibri"/>
        </w:rPr>
        <w:t>distri</w:t>
      </w:r>
      <w:r w:rsidR="00C23472">
        <w:rPr>
          <w:rFonts w:ascii="Calibri" w:hAnsi="Calibri" w:cs="Calibri"/>
          <w:spacing w:val="-1"/>
        </w:rPr>
        <w:t>bu</w:t>
      </w:r>
      <w:r w:rsidR="00C23472">
        <w:rPr>
          <w:rFonts w:ascii="Calibri" w:hAnsi="Calibri" w:cs="Calibri"/>
        </w:rPr>
        <w:t>t</w:t>
      </w:r>
      <w:r w:rsidR="00C23472">
        <w:rPr>
          <w:rFonts w:ascii="Calibri" w:hAnsi="Calibri" w:cs="Calibri"/>
          <w:spacing w:val="1"/>
        </w:rPr>
        <w:t>e</w:t>
      </w:r>
      <w:r w:rsidR="00C23472">
        <w:rPr>
          <w:rFonts w:ascii="Calibri" w:hAnsi="Calibri" w:cs="Calibri"/>
        </w:rPr>
        <w:t>d</w:t>
      </w:r>
      <w:r w:rsidR="00C23472">
        <w:rPr>
          <w:rFonts w:ascii="Calibri" w:hAnsi="Calibri" w:cs="Calibri"/>
          <w:spacing w:val="-3"/>
        </w:rPr>
        <w:t xml:space="preserve"> </w:t>
      </w:r>
      <w:r w:rsidR="00C23472">
        <w:rPr>
          <w:rFonts w:ascii="Calibri" w:hAnsi="Calibri" w:cs="Calibri"/>
          <w:spacing w:val="1"/>
        </w:rPr>
        <w:t>t</w:t>
      </w:r>
      <w:r w:rsidR="00C23472">
        <w:rPr>
          <w:rFonts w:ascii="Calibri" w:hAnsi="Calibri" w:cs="Calibri"/>
          <w:spacing w:val="-1"/>
        </w:rPr>
        <w:t>h</w:t>
      </w:r>
      <w:r w:rsidR="00C23472">
        <w:rPr>
          <w:rFonts w:ascii="Calibri" w:hAnsi="Calibri" w:cs="Calibri"/>
        </w:rPr>
        <w:t>r</w:t>
      </w:r>
      <w:r w:rsidR="00C23472">
        <w:rPr>
          <w:rFonts w:ascii="Calibri" w:hAnsi="Calibri" w:cs="Calibri"/>
          <w:spacing w:val="1"/>
        </w:rPr>
        <w:t>o</w:t>
      </w:r>
      <w:r w:rsidR="00C23472">
        <w:rPr>
          <w:rFonts w:ascii="Calibri" w:hAnsi="Calibri" w:cs="Calibri"/>
          <w:spacing w:val="-1"/>
        </w:rPr>
        <w:t>ugh</w:t>
      </w:r>
      <w:r w:rsidR="00C23472">
        <w:rPr>
          <w:rFonts w:ascii="Calibri" w:hAnsi="Calibri" w:cs="Calibri"/>
          <w:spacing w:val="1"/>
        </w:rPr>
        <w:t>o</w:t>
      </w:r>
      <w:r w:rsidR="00C23472">
        <w:rPr>
          <w:rFonts w:ascii="Calibri" w:hAnsi="Calibri" w:cs="Calibri"/>
          <w:spacing w:val="-1"/>
        </w:rPr>
        <w:t>u</w:t>
      </w:r>
      <w:r w:rsidR="00C23472">
        <w:rPr>
          <w:rFonts w:ascii="Calibri" w:hAnsi="Calibri" w:cs="Calibri"/>
        </w:rPr>
        <w:t>t</w:t>
      </w:r>
      <w:r w:rsidR="00C23472">
        <w:rPr>
          <w:rFonts w:ascii="Calibri" w:hAnsi="Calibri" w:cs="Calibri"/>
          <w:spacing w:val="-2"/>
        </w:rPr>
        <w:t xml:space="preserve"> </w:t>
      </w:r>
      <w:r w:rsidR="00C23472">
        <w:rPr>
          <w:rFonts w:ascii="Calibri" w:hAnsi="Calibri" w:cs="Calibri"/>
          <w:spacing w:val="1"/>
        </w:rPr>
        <w:t>t</w:t>
      </w:r>
      <w:r w:rsidR="00C23472">
        <w:rPr>
          <w:rFonts w:ascii="Calibri" w:hAnsi="Calibri" w:cs="Calibri"/>
          <w:spacing w:val="-1"/>
        </w:rPr>
        <w:t>h</w:t>
      </w:r>
      <w:r w:rsidR="00C23472">
        <w:rPr>
          <w:rFonts w:ascii="Calibri" w:hAnsi="Calibri" w:cs="Calibri"/>
        </w:rPr>
        <w:t xml:space="preserve">e </w:t>
      </w:r>
      <w:r w:rsidR="00C23472">
        <w:rPr>
          <w:rFonts w:ascii="Calibri" w:hAnsi="Calibri" w:cs="Calibri"/>
          <w:spacing w:val="-1"/>
        </w:rPr>
        <w:t>bu</w:t>
      </w:r>
      <w:r w:rsidR="00C23472">
        <w:rPr>
          <w:rFonts w:ascii="Calibri" w:hAnsi="Calibri" w:cs="Calibri"/>
        </w:rPr>
        <w:t>il</w:t>
      </w:r>
      <w:r w:rsidR="00C23472">
        <w:rPr>
          <w:rFonts w:ascii="Calibri" w:hAnsi="Calibri" w:cs="Calibri"/>
          <w:spacing w:val="-1"/>
        </w:rPr>
        <w:t>d</w:t>
      </w:r>
      <w:r w:rsidR="00C23472">
        <w:rPr>
          <w:rFonts w:ascii="Calibri" w:hAnsi="Calibri" w:cs="Calibri"/>
        </w:rPr>
        <w:t>i</w:t>
      </w:r>
      <w:r w:rsidR="00C23472">
        <w:rPr>
          <w:rFonts w:ascii="Calibri" w:hAnsi="Calibri" w:cs="Calibri"/>
          <w:spacing w:val="-1"/>
        </w:rPr>
        <w:t>ng</w:t>
      </w:r>
      <w:r w:rsidR="00C23472">
        <w:rPr>
          <w:rFonts w:ascii="Calibri" w:hAnsi="Calibri" w:cs="Calibri"/>
        </w:rPr>
        <w:t>s and</w:t>
      </w:r>
      <w:r w:rsidR="00C23472">
        <w:rPr>
          <w:rFonts w:ascii="Calibri" w:hAnsi="Calibri" w:cs="Calibri"/>
          <w:spacing w:val="-1"/>
        </w:rPr>
        <w:t xml:space="preserve"> </w:t>
      </w:r>
      <w:r w:rsidR="00C23472">
        <w:rPr>
          <w:rFonts w:ascii="Calibri" w:hAnsi="Calibri" w:cs="Calibri"/>
        </w:rPr>
        <w:t>n</w:t>
      </w:r>
      <w:r w:rsidR="00C23472">
        <w:rPr>
          <w:rFonts w:ascii="Calibri" w:hAnsi="Calibri" w:cs="Calibri"/>
          <w:spacing w:val="1"/>
        </w:rPr>
        <w:t>o</w:t>
      </w:r>
      <w:r w:rsidR="00C23472">
        <w:rPr>
          <w:rFonts w:ascii="Calibri" w:hAnsi="Calibri" w:cs="Calibri"/>
        </w:rPr>
        <w:t>t</w:t>
      </w:r>
      <w:r w:rsidR="00C23472">
        <w:rPr>
          <w:rFonts w:ascii="Calibri" w:hAnsi="Calibri" w:cs="Calibri"/>
          <w:spacing w:val="1"/>
        </w:rPr>
        <w:t xml:space="preserve"> </w:t>
      </w:r>
      <w:r w:rsidR="00C23472">
        <w:rPr>
          <w:rFonts w:ascii="Calibri" w:hAnsi="Calibri" w:cs="Calibri"/>
        </w:rPr>
        <w:t>c</w:t>
      </w:r>
      <w:r w:rsidR="00C23472">
        <w:rPr>
          <w:rFonts w:ascii="Calibri" w:hAnsi="Calibri" w:cs="Calibri"/>
          <w:spacing w:val="1"/>
        </w:rPr>
        <w:t>o</w:t>
      </w:r>
      <w:r w:rsidR="00C23472">
        <w:rPr>
          <w:rFonts w:ascii="Calibri" w:hAnsi="Calibri" w:cs="Calibri"/>
          <w:spacing w:val="-1"/>
        </w:rPr>
        <w:t>ng</w:t>
      </w:r>
      <w:r w:rsidR="00C23472">
        <w:rPr>
          <w:rFonts w:ascii="Calibri" w:hAnsi="Calibri" w:cs="Calibri"/>
          <w:spacing w:val="-3"/>
        </w:rPr>
        <w:t>r</w:t>
      </w:r>
      <w:r w:rsidR="00C23472">
        <w:rPr>
          <w:rFonts w:ascii="Calibri" w:hAnsi="Calibri" w:cs="Calibri"/>
        </w:rPr>
        <w:t>eg</w:t>
      </w:r>
      <w:r w:rsidR="00C23472">
        <w:rPr>
          <w:rFonts w:ascii="Calibri" w:hAnsi="Calibri" w:cs="Calibri"/>
          <w:spacing w:val="-3"/>
        </w:rPr>
        <w:t>a</w:t>
      </w:r>
      <w:r w:rsidR="00C23472">
        <w:rPr>
          <w:rFonts w:ascii="Calibri" w:hAnsi="Calibri" w:cs="Calibri"/>
        </w:rPr>
        <w:t>t</w:t>
      </w:r>
      <w:r w:rsidR="00C23472">
        <w:rPr>
          <w:rFonts w:ascii="Calibri" w:hAnsi="Calibri" w:cs="Calibri"/>
          <w:spacing w:val="1"/>
        </w:rPr>
        <w:t>e</w:t>
      </w:r>
      <w:r w:rsidR="00C23472">
        <w:rPr>
          <w:rFonts w:ascii="Calibri" w:hAnsi="Calibri" w:cs="Calibri"/>
        </w:rPr>
        <w:t>d</w:t>
      </w:r>
      <w:r w:rsidR="00C23472">
        <w:rPr>
          <w:rFonts w:ascii="Calibri" w:hAnsi="Calibri" w:cs="Calibri"/>
          <w:spacing w:val="1"/>
        </w:rPr>
        <w:t xml:space="preserve"> </w:t>
      </w:r>
      <w:r w:rsidR="00C23472">
        <w:rPr>
          <w:rFonts w:ascii="Calibri" w:hAnsi="Calibri" w:cs="Calibri"/>
          <w:spacing w:val="-2"/>
        </w:rPr>
        <w:t>t</w:t>
      </w:r>
      <w:r w:rsidR="00C23472">
        <w:rPr>
          <w:rFonts w:ascii="Calibri" w:hAnsi="Calibri" w:cs="Calibri"/>
          <w:spacing w:val="1"/>
        </w:rPr>
        <w:t>o</w:t>
      </w:r>
      <w:r w:rsidR="00C23472">
        <w:rPr>
          <w:rFonts w:ascii="Calibri" w:hAnsi="Calibri" w:cs="Calibri"/>
          <w:spacing w:val="-1"/>
        </w:rPr>
        <w:t>g</w:t>
      </w:r>
      <w:r w:rsidR="00C23472">
        <w:rPr>
          <w:rFonts w:ascii="Calibri" w:hAnsi="Calibri" w:cs="Calibri"/>
        </w:rPr>
        <w:t>e</w:t>
      </w:r>
      <w:r w:rsidR="00C23472">
        <w:rPr>
          <w:rFonts w:ascii="Calibri" w:hAnsi="Calibri" w:cs="Calibri"/>
          <w:spacing w:val="1"/>
        </w:rPr>
        <w:t>t</w:t>
      </w:r>
      <w:r w:rsidR="00C23472">
        <w:rPr>
          <w:rFonts w:ascii="Calibri" w:hAnsi="Calibri" w:cs="Calibri"/>
          <w:spacing w:val="-1"/>
        </w:rPr>
        <w:t>h</w:t>
      </w:r>
      <w:r w:rsidR="00C23472">
        <w:rPr>
          <w:rFonts w:ascii="Calibri" w:hAnsi="Calibri" w:cs="Calibri"/>
          <w:spacing w:val="-2"/>
        </w:rPr>
        <w:t>e</w:t>
      </w:r>
      <w:r w:rsidR="00C23472">
        <w:rPr>
          <w:rFonts w:ascii="Calibri" w:hAnsi="Calibri" w:cs="Calibri"/>
        </w:rPr>
        <w:t xml:space="preserve">r </w:t>
      </w:r>
      <w:r w:rsidR="00C23472">
        <w:rPr>
          <w:rFonts w:ascii="Calibri" w:hAnsi="Calibri" w:cs="Calibri"/>
          <w:spacing w:val="1"/>
        </w:rPr>
        <w:t>o</w:t>
      </w:r>
      <w:r w:rsidR="00C23472">
        <w:rPr>
          <w:rFonts w:ascii="Calibri" w:hAnsi="Calibri" w:cs="Calibri"/>
        </w:rPr>
        <w:t>n</w:t>
      </w:r>
      <w:r w:rsidR="00C23472">
        <w:rPr>
          <w:rFonts w:ascii="Calibri" w:hAnsi="Calibri" w:cs="Calibri"/>
          <w:spacing w:val="-3"/>
        </w:rPr>
        <w:t xml:space="preserve"> </w:t>
      </w:r>
      <w:r w:rsidR="00C23472">
        <w:rPr>
          <w:rFonts w:ascii="Calibri" w:hAnsi="Calibri" w:cs="Calibri"/>
          <w:spacing w:val="1"/>
        </w:rPr>
        <w:t>o</w:t>
      </w:r>
      <w:r w:rsidR="00C23472">
        <w:rPr>
          <w:rFonts w:ascii="Calibri" w:hAnsi="Calibri" w:cs="Calibri"/>
          <w:spacing w:val="-1"/>
        </w:rPr>
        <w:t>n</w:t>
      </w:r>
      <w:r w:rsidR="00C23472">
        <w:rPr>
          <w:rFonts w:ascii="Calibri" w:hAnsi="Calibri" w:cs="Calibri"/>
        </w:rPr>
        <w:t>e</w:t>
      </w:r>
      <w:r w:rsidR="00C23472">
        <w:rPr>
          <w:rFonts w:ascii="Calibri" w:hAnsi="Calibri" w:cs="Calibri"/>
          <w:spacing w:val="-2"/>
        </w:rPr>
        <w:t xml:space="preserve"> </w:t>
      </w:r>
      <w:r w:rsidR="00C23472">
        <w:rPr>
          <w:rFonts w:ascii="Calibri" w:hAnsi="Calibri" w:cs="Calibri"/>
        </w:rPr>
        <w:t>fl</w:t>
      </w:r>
      <w:r w:rsidR="00C23472">
        <w:rPr>
          <w:rFonts w:ascii="Calibri" w:hAnsi="Calibri" w:cs="Calibri"/>
          <w:spacing w:val="-1"/>
        </w:rPr>
        <w:t>o</w:t>
      </w:r>
      <w:r w:rsidR="00C23472">
        <w:rPr>
          <w:rFonts w:ascii="Calibri" w:hAnsi="Calibri" w:cs="Calibri"/>
          <w:spacing w:val="1"/>
        </w:rPr>
        <w:t>o</w:t>
      </w:r>
      <w:r w:rsidR="00C23472">
        <w:rPr>
          <w:rFonts w:ascii="Calibri" w:hAnsi="Calibri" w:cs="Calibri"/>
        </w:rPr>
        <w:t>r</w:t>
      </w:r>
      <w:r w:rsidR="00C23472">
        <w:rPr>
          <w:rFonts w:ascii="Calibri" w:hAnsi="Calibri" w:cs="Calibri"/>
          <w:spacing w:val="-2"/>
        </w:rPr>
        <w:t xml:space="preserve"> </w:t>
      </w:r>
      <w:r w:rsidR="00C23472">
        <w:rPr>
          <w:rFonts w:ascii="Calibri" w:hAnsi="Calibri" w:cs="Calibri"/>
          <w:spacing w:val="-1"/>
        </w:rPr>
        <w:t>o</w:t>
      </w:r>
      <w:r w:rsidR="00C23472">
        <w:rPr>
          <w:rFonts w:ascii="Calibri" w:hAnsi="Calibri" w:cs="Calibri"/>
        </w:rPr>
        <w:t>r s</w:t>
      </w:r>
      <w:r w:rsidR="00C23472">
        <w:rPr>
          <w:rFonts w:ascii="Calibri" w:hAnsi="Calibri" w:cs="Calibri"/>
          <w:spacing w:val="1"/>
        </w:rPr>
        <w:t>e</w:t>
      </w:r>
      <w:r w:rsidR="00C23472">
        <w:rPr>
          <w:rFonts w:ascii="Calibri" w:hAnsi="Calibri" w:cs="Calibri"/>
        </w:rPr>
        <w:t>ct</w:t>
      </w:r>
      <w:r w:rsidR="00C23472">
        <w:rPr>
          <w:rFonts w:ascii="Calibri" w:hAnsi="Calibri" w:cs="Calibri"/>
          <w:spacing w:val="-2"/>
        </w:rPr>
        <w:t>i</w:t>
      </w:r>
      <w:r w:rsidR="00C23472">
        <w:rPr>
          <w:rFonts w:ascii="Calibri" w:hAnsi="Calibri" w:cs="Calibri"/>
          <w:spacing w:val="1"/>
        </w:rPr>
        <w:t>o</w:t>
      </w:r>
      <w:r w:rsidR="00C23472">
        <w:rPr>
          <w:rFonts w:ascii="Calibri" w:hAnsi="Calibri" w:cs="Calibri"/>
        </w:rPr>
        <w:t>n</w:t>
      </w:r>
      <w:r w:rsidR="00C23472">
        <w:rPr>
          <w:rFonts w:ascii="Calibri" w:hAnsi="Calibri" w:cs="Calibri"/>
          <w:spacing w:val="-3"/>
        </w:rPr>
        <w:t xml:space="preserve"> </w:t>
      </w:r>
      <w:r w:rsidR="00C23472">
        <w:rPr>
          <w:rFonts w:ascii="Calibri" w:hAnsi="Calibri" w:cs="Calibri"/>
          <w:spacing w:val="1"/>
        </w:rPr>
        <w:t>o</w:t>
      </w:r>
      <w:r w:rsidR="00C23472">
        <w:rPr>
          <w:rFonts w:ascii="Calibri" w:hAnsi="Calibri" w:cs="Calibri"/>
        </w:rPr>
        <w:t xml:space="preserve">f </w:t>
      </w:r>
      <w:r w:rsidR="00C23472">
        <w:rPr>
          <w:rFonts w:ascii="Calibri" w:hAnsi="Calibri" w:cs="Calibri"/>
          <w:spacing w:val="1"/>
        </w:rPr>
        <w:t>t</w:t>
      </w:r>
      <w:r w:rsidR="00C23472">
        <w:rPr>
          <w:rFonts w:ascii="Calibri" w:hAnsi="Calibri" w:cs="Calibri"/>
          <w:spacing w:val="-3"/>
        </w:rPr>
        <w:t>h</w:t>
      </w:r>
      <w:r w:rsidR="00C23472">
        <w:rPr>
          <w:rFonts w:ascii="Calibri" w:hAnsi="Calibri" w:cs="Calibri"/>
        </w:rPr>
        <w:t>e</w:t>
      </w:r>
      <w:r w:rsidR="00C23472">
        <w:rPr>
          <w:rFonts w:ascii="Calibri" w:hAnsi="Calibri" w:cs="Calibri"/>
          <w:spacing w:val="1"/>
        </w:rPr>
        <w:t xml:space="preserve"> </w:t>
      </w:r>
      <w:r w:rsidR="00C23472">
        <w:rPr>
          <w:rFonts w:ascii="Calibri" w:hAnsi="Calibri" w:cs="Calibri"/>
          <w:spacing w:val="-1"/>
        </w:rPr>
        <w:t>bu</w:t>
      </w:r>
      <w:r w:rsidR="00C23472">
        <w:rPr>
          <w:rFonts w:ascii="Calibri" w:hAnsi="Calibri" w:cs="Calibri"/>
        </w:rPr>
        <w:t>il</w:t>
      </w:r>
      <w:r w:rsidR="00C23472">
        <w:rPr>
          <w:rFonts w:ascii="Calibri" w:hAnsi="Calibri" w:cs="Calibri"/>
          <w:spacing w:val="-1"/>
        </w:rPr>
        <w:t>d</w:t>
      </w:r>
      <w:r w:rsidR="00C23472">
        <w:rPr>
          <w:rFonts w:ascii="Calibri" w:hAnsi="Calibri" w:cs="Calibri"/>
        </w:rPr>
        <w:t>i</w:t>
      </w:r>
      <w:r w:rsidR="00C23472">
        <w:rPr>
          <w:rFonts w:ascii="Calibri" w:hAnsi="Calibri" w:cs="Calibri"/>
          <w:spacing w:val="-1"/>
        </w:rPr>
        <w:t>ng</w:t>
      </w:r>
      <w:r w:rsidR="00C23472">
        <w:rPr>
          <w:rFonts w:ascii="Calibri" w:hAnsi="Calibri" w:cs="Calibri"/>
        </w:rPr>
        <w:t xml:space="preserve">s. </w:t>
      </w:r>
      <w:r w:rsidR="00C23472">
        <w:rPr>
          <w:rFonts w:ascii="Calibri" w:hAnsi="Calibri" w:cs="Calibri"/>
          <w:spacing w:val="3"/>
        </w:rPr>
        <w:t xml:space="preserve"> </w:t>
      </w:r>
    </w:p>
    <w:p w:rsidR="00D70194" w:rsidRDefault="00D70194" w:rsidP="00D70194">
      <w:pPr>
        <w:pStyle w:val="ListParagraph"/>
        <w:spacing w:after="0"/>
        <w:ind w:left="0"/>
        <w:rPr>
          <w:color w:val="FF0000"/>
        </w:rPr>
      </w:pPr>
    </w:p>
    <w:p w:rsidR="00D70194" w:rsidRDefault="00D70194" w:rsidP="00D70194">
      <w:r>
        <w:t xml:space="preserve">A key component of the model is that </w:t>
      </w:r>
      <w:r w:rsidR="00341422">
        <w:t>staff provides</w:t>
      </w:r>
      <w:r>
        <w:t xml:space="preserve"> a significant amount of education and training to members in order to increase their level of independence and understanding of both mental illness and vital health indicators such as glucose levels and blood pressure. Thresholds nursing staff are available at Bryn Mawr Apartments Monday through Friday, and on the weekends as needed. The nurses serve a vital role in ensuring the health and safety of Bryn Mawr members. Recently, 8 residents of Bryn Mawr Apartments attended the NAMI Mental Health Rally at the Thompson Center and demonstrated true engagement in their community and the future. Individuals who previously felt hopeless regarding prospects for moving out of the IMD and into their own apartments have demonstrated that with hard work, perseverance and adequate support, recovery truly is possible.</w:t>
      </w:r>
    </w:p>
    <w:p w:rsidR="001E6D47" w:rsidRDefault="001E6D47" w:rsidP="00C23472">
      <w:pPr>
        <w:autoSpaceDE w:val="0"/>
        <w:autoSpaceDN w:val="0"/>
        <w:adjustRightInd w:val="0"/>
        <w:spacing w:before="16" w:after="0"/>
        <w:ind w:left="40" w:right="134"/>
        <w:rPr>
          <w:rFonts w:ascii="Calibri" w:hAnsi="Calibri" w:cs="Calibri"/>
          <w:spacing w:val="3"/>
          <w:u w:val="single"/>
        </w:rPr>
      </w:pPr>
    </w:p>
    <w:p w:rsidR="00D70194" w:rsidRPr="00186E3F" w:rsidRDefault="003F4802" w:rsidP="00C23472">
      <w:pPr>
        <w:autoSpaceDE w:val="0"/>
        <w:autoSpaceDN w:val="0"/>
        <w:adjustRightInd w:val="0"/>
        <w:spacing w:before="16" w:after="0"/>
        <w:ind w:left="40" w:right="134"/>
        <w:rPr>
          <w:rFonts w:ascii="Calibri" w:hAnsi="Calibri" w:cs="Calibri"/>
          <w:spacing w:val="3"/>
          <w:u w:val="single"/>
        </w:rPr>
      </w:pPr>
      <w:r>
        <w:rPr>
          <w:rFonts w:ascii="Calibri" w:hAnsi="Calibri" w:cs="Calibri"/>
          <w:spacing w:val="3"/>
          <w:u w:val="single"/>
        </w:rPr>
        <w:lastRenderedPageBreak/>
        <w:t xml:space="preserve">Trilogy </w:t>
      </w:r>
      <w:r w:rsidR="007D2E03">
        <w:rPr>
          <w:rFonts w:ascii="Calibri" w:hAnsi="Calibri" w:cs="Calibri"/>
          <w:spacing w:val="3"/>
          <w:u w:val="single"/>
        </w:rPr>
        <w:t>Crandon</w:t>
      </w:r>
      <w:r w:rsidR="00186E3F">
        <w:rPr>
          <w:rFonts w:ascii="Calibri" w:hAnsi="Calibri" w:cs="Calibri"/>
          <w:spacing w:val="3"/>
          <w:u w:val="single"/>
        </w:rPr>
        <w:t xml:space="preserve"> </w:t>
      </w:r>
      <w:r w:rsidR="00D70194" w:rsidRPr="00186E3F">
        <w:rPr>
          <w:rFonts w:ascii="Calibri" w:hAnsi="Calibri" w:cs="Calibri"/>
          <w:spacing w:val="3"/>
          <w:u w:val="single"/>
        </w:rPr>
        <w:t>Apartments</w:t>
      </w:r>
    </w:p>
    <w:p w:rsidR="00D70194" w:rsidRDefault="00D70194" w:rsidP="00C23472">
      <w:pPr>
        <w:autoSpaceDE w:val="0"/>
        <w:autoSpaceDN w:val="0"/>
        <w:adjustRightInd w:val="0"/>
        <w:spacing w:before="16" w:after="0"/>
        <w:ind w:left="40" w:right="134"/>
        <w:rPr>
          <w:rFonts w:ascii="Calibri" w:hAnsi="Calibri" w:cs="Calibri"/>
          <w:spacing w:val="49"/>
        </w:rPr>
      </w:pPr>
    </w:p>
    <w:p w:rsidR="00C23472" w:rsidRDefault="00C23472" w:rsidP="00C23472">
      <w:pPr>
        <w:autoSpaceDE w:val="0"/>
        <w:autoSpaceDN w:val="0"/>
        <w:adjustRightInd w:val="0"/>
        <w:spacing w:before="16" w:after="0"/>
        <w:ind w:left="40" w:right="134"/>
        <w:rPr>
          <w:rFonts w:ascii="Calibri" w:hAnsi="Calibri" w:cs="Calibri"/>
        </w:rPr>
      </w:pPr>
      <w:r>
        <w:rPr>
          <w:rFonts w:ascii="Calibri" w:hAnsi="Calibri" w:cs="Calibri"/>
        </w:rPr>
        <w:t xml:space="preserve">In April, 2015 a second Clustered model resource was implemented specifically to address the Williams </w:t>
      </w:r>
      <w:r w:rsidR="00944086">
        <w:rPr>
          <w:rFonts w:ascii="Calibri" w:hAnsi="Calibri" w:cs="Calibri"/>
        </w:rPr>
        <w:t>Class Members</w:t>
      </w:r>
      <w:r>
        <w:rPr>
          <w:rFonts w:ascii="Calibri" w:hAnsi="Calibri" w:cs="Calibri"/>
        </w:rPr>
        <w:t xml:space="preserve"> that are on DMH agencies “Unable to Serve” lists. The scattered site resource i</w:t>
      </w:r>
      <w:r w:rsidR="00186E3F">
        <w:rPr>
          <w:rFonts w:ascii="Calibri" w:hAnsi="Calibri" w:cs="Calibri"/>
        </w:rPr>
        <w:t>s located at 7308 S. Crandon Street</w:t>
      </w:r>
      <w:r>
        <w:rPr>
          <w:rFonts w:ascii="Calibri" w:hAnsi="Calibri" w:cs="Calibri"/>
        </w:rPr>
        <w:t>, on the Southside of Chicago</w:t>
      </w:r>
      <w:r w:rsidR="00186E3F" w:rsidRPr="00186E3F">
        <w:t xml:space="preserve"> </w:t>
      </w:r>
      <w:r w:rsidR="00186E3F">
        <w:t xml:space="preserve">in the </w:t>
      </w:r>
      <w:r w:rsidR="00E97561">
        <w:t>Chatham neighborhood. It is a newly rehab</w:t>
      </w:r>
      <w:r w:rsidR="00DA1DEE">
        <w:t>bed</w:t>
      </w:r>
      <w:r w:rsidR="00E97561">
        <w:t xml:space="preserve"> property that has ground level, store front capability for local businesses.</w:t>
      </w:r>
      <w:r>
        <w:rPr>
          <w:rFonts w:ascii="Calibri" w:hAnsi="Calibri" w:cs="Calibri"/>
        </w:rPr>
        <w:t xml:space="preserve"> This project targets 10 units and adheres to the Consent Decree’s 25% rule. </w:t>
      </w:r>
      <w:r w:rsidR="00944086">
        <w:rPr>
          <w:rFonts w:ascii="Calibri" w:hAnsi="Calibri" w:cs="Calibri"/>
        </w:rPr>
        <w:t>Class Members</w:t>
      </w:r>
      <w:r w:rsidR="00244F78">
        <w:rPr>
          <w:rFonts w:ascii="Calibri" w:hAnsi="Calibri" w:cs="Calibri"/>
        </w:rPr>
        <w:t xml:space="preserve"> may receive all Rule 132 services including</w:t>
      </w:r>
      <w:r>
        <w:rPr>
          <w:rFonts w:ascii="Calibri" w:hAnsi="Calibri" w:cs="Calibri"/>
          <w:spacing w:val="1"/>
        </w:rPr>
        <w:t xml:space="preserve"> </w:t>
      </w:r>
      <w:r>
        <w:rPr>
          <w:rFonts w:ascii="Calibri" w:hAnsi="Calibri" w:cs="Calibri"/>
          <w:spacing w:val="-3"/>
        </w:rPr>
        <w:t>A</w:t>
      </w:r>
      <w:r>
        <w:rPr>
          <w:rFonts w:ascii="Calibri" w:hAnsi="Calibri" w:cs="Calibri"/>
        </w:rPr>
        <w:t>sser</w:t>
      </w:r>
      <w:r>
        <w:rPr>
          <w:rFonts w:ascii="Calibri" w:hAnsi="Calibri" w:cs="Calibri"/>
          <w:spacing w:val="1"/>
        </w:rPr>
        <w:t>t</w:t>
      </w:r>
      <w:r>
        <w:rPr>
          <w:rFonts w:ascii="Calibri" w:hAnsi="Calibri" w:cs="Calibri"/>
          <w:spacing w:val="-3"/>
        </w:rPr>
        <w:t>i</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om</w:t>
      </w:r>
      <w:r>
        <w:rPr>
          <w:rFonts w:ascii="Calibri" w:hAnsi="Calibri" w:cs="Calibri"/>
          <w:spacing w:val="1"/>
        </w:rPr>
        <w:t>m</w:t>
      </w:r>
      <w:r>
        <w:rPr>
          <w:rFonts w:ascii="Calibri" w:hAnsi="Calibri" w:cs="Calibri"/>
          <w:spacing w:val="-1"/>
        </w:rPr>
        <w:t>un</w:t>
      </w:r>
      <w:r>
        <w:rPr>
          <w:rFonts w:ascii="Calibri" w:hAnsi="Calibri" w:cs="Calibri"/>
        </w:rPr>
        <w:t>ity Trea</w:t>
      </w:r>
      <w:r>
        <w:rPr>
          <w:rFonts w:ascii="Calibri" w:hAnsi="Calibri" w:cs="Calibri"/>
          <w:spacing w:val="-1"/>
        </w:rPr>
        <w:t>t</w:t>
      </w:r>
      <w:r>
        <w:rPr>
          <w:rFonts w:ascii="Calibri" w:hAnsi="Calibri" w:cs="Calibri"/>
          <w:spacing w:val="1"/>
        </w:rPr>
        <w:t>m</w:t>
      </w:r>
      <w:r>
        <w:rPr>
          <w:rFonts w:ascii="Calibri" w:hAnsi="Calibri" w:cs="Calibri"/>
        </w:rPr>
        <w:t>ent</w:t>
      </w:r>
      <w:r>
        <w:rPr>
          <w:rFonts w:ascii="Calibri" w:hAnsi="Calibri" w:cs="Calibri"/>
          <w:spacing w:val="-2"/>
        </w:rPr>
        <w:t xml:space="preserve"> </w:t>
      </w:r>
      <w:r>
        <w:rPr>
          <w:rFonts w:ascii="Calibri" w:hAnsi="Calibri" w:cs="Calibri"/>
          <w:spacing w:val="1"/>
        </w:rPr>
        <w:t>(</w:t>
      </w:r>
      <w:r>
        <w:rPr>
          <w:rFonts w:ascii="Calibri" w:hAnsi="Calibri" w:cs="Calibri"/>
        </w:rPr>
        <w:t>A</w:t>
      </w:r>
      <w:r>
        <w:rPr>
          <w:rFonts w:ascii="Calibri" w:hAnsi="Calibri" w:cs="Calibri"/>
          <w:spacing w:val="-1"/>
        </w:rPr>
        <w:t>C</w:t>
      </w:r>
      <w:r>
        <w:rPr>
          <w:rFonts w:ascii="Calibri" w:hAnsi="Calibri" w:cs="Calibri"/>
        </w:rPr>
        <w:t>T)</w:t>
      </w:r>
      <w:r>
        <w:rPr>
          <w:rFonts w:ascii="Calibri" w:hAnsi="Calibri" w:cs="Calibri"/>
          <w:spacing w:val="-1"/>
        </w:rPr>
        <w:t xml:space="preserve"> </w:t>
      </w:r>
      <w:r>
        <w:rPr>
          <w:rFonts w:ascii="Calibri" w:hAnsi="Calibri" w:cs="Calibri"/>
          <w:spacing w:val="2"/>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spacing w:val="-1"/>
        </w:rPr>
        <w:t>mmun</w:t>
      </w:r>
      <w:r>
        <w:rPr>
          <w:rFonts w:ascii="Calibri" w:hAnsi="Calibri" w:cs="Calibri"/>
        </w:rPr>
        <w:t>ity</w:t>
      </w:r>
      <w:r>
        <w:rPr>
          <w:rFonts w:ascii="Calibri" w:hAnsi="Calibri" w:cs="Calibri"/>
          <w:spacing w:val="1"/>
        </w:rPr>
        <w:t xml:space="preserve"> </w:t>
      </w:r>
      <w:r>
        <w:rPr>
          <w:rFonts w:ascii="Calibri" w:hAnsi="Calibri" w:cs="Calibri"/>
        </w:rPr>
        <w:t>S</w:t>
      </w:r>
      <w:r>
        <w:rPr>
          <w:rFonts w:ascii="Calibri" w:hAnsi="Calibri" w:cs="Calibri"/>
          <w:spacing w:val="-1"/>
        </w:rPr>
        <w:t>upp</w:t>
      </w:r>
      <w:r>
        <w:rPr>
          <w:rFonts w:ascii="Calibri" w:hAnsi="Calibri" w:cs="Calibri"/>
          <w:spacing w:val="1"/>
        </w:rPr>
        <w:t>o</w:t>
      </w:r>
      <w:r>
        <w:rPr>
          <w:rFonts w:ascii="Calibri" w:hAnsi="Calibri" w:cs="Calibri"/>
        </w:rPr>
        <w:t>rt</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3"/>
        </w:rPr>
        <w:t>a</w:t>
      </w:r>
      <w:r>
        <w:rPr>
          <w:rFonts w:ascii="Calibri" w:hAnsi="Calibri" w:cs="Calibri"/>
        </w:rPr>
        <w:t>m</w:t>
      </w:r>
      <w:r>
        <w:rPr>
          <w:rFonts w:ascii="Calibri" w:hAnsi="Calibri" w:cs="Calibri"/>
          <w:spacing w:val="1"/>
        </w:rPr>
        <w:t xml:space="preserve"> </w:t>
      </w:r>
      <w:r>
        <w:rPr>
          <w:rFonts w:ascii="Calibri" w:hAnsi="Calibri" w:cs="Calibri"/>
          <w:spacing w:val="-2"/>
        </w:rPr>
        <w:t>(</w:t>
      </w:r>
      <w:r>
        <w:rPr>
          <w:rFonts w:ascii="Calibri" w:hAnsi="Calibri" w:cs="Calibri"/>
        </w:rPr>
        <w:t>CST)</w:t>
      </w:r>
      <w:r w:rsidR="00244F78">
        <w:rPr>
          <w:rFonts w:ascii="Calibri" w:hAnsi="Calibri" w:cs="Calibri"/>
        </w:rPr>
        <w:t>.</w:t>
      </w:r>
      <w:r>
        <w:rPr>
          <w:rFonts w:ascii="Calibri" w:hAnsi="Calibri" w:cs="Calibri"/>
        </w:rPr>
        <w:t xml:space="preserve"> </w:t>
      </w:r>
      <w:r w:rsidR="007D2E03">
        <w:t xml:space="preserve">All ten units have been inspected and approved for occupancy. </w:t>
      </w:r>
      <w:r w:rsidR="00CA5A6E">
        <w:t xml:space="preserve">Trilogy has negotiated with the landlord to convert one of the available store fronts into office space </w:t>
      </w:r>
      <w:r w:rsidR="00DA1DEE">
        <w:t xml:space="preserve">which will be maintained by Trilogy </w:t>
      </w:r>
      <w:r w:rsidR="00CA5A6E">
        <w:t xml:space="preserve">for </w:t>
      </w:r>
      <w:r w:rsidR="00DA1DEE">
        <w:t xml:space="preserve">24 hour </w:t>
      </w:r>
      <w:r w:rsidR="00CA5A6E">
        <w:t xml:space="preserve">peer-support staff.   </w:t>
      </w:r>
      <w:r>
        <w:rPr>
          <w:rFonts w:ascii="Calibri" w:hAnsi="Calibri" w:cs="Calibri"/>
        </w:rPr>
        <w:t>Similarly to the Br</w:t>
      </w:r>
      <w:r>
        <w:rPr>
          <w:rFonts w:ascii="Calibri" w:hAnsi="Calibri" w:cs="Calibri"/>
          <w:spacing w:val="1"/>
        </w:rPr>
        <w:t>y</w:t>
      </w:r>
      <w:r>
        <w:rPr>
          <w:rFonts w:ascii="Calibri" w:hAnsi="Calibri" w:cs="Calibri"/>
        </w:rPr>
        <w:t>n</w:t>
      </w:r>
      <w:r>
        <w:rPr>
          <w:rFonts w:ascii="Calibri" w:hAnsi="Calibri" w:cs="Calibri"/>
          <w:spacing w:val="-3"/>
        </w:rPr>
        <w:t xml:space="preserve"> </w:t>
      </w:r>
      <w:r>
        <w:rPr>
          <w:rFonts w:ascii="Calibri" w:hAnsi="Calibri" w:cs="Calibri"/>
          <w:spacing w:val="1"/>
        </w:rPr>
        <w:t>M</w:t>
      </w:r>
      <w:r>
        <w:rPr>
          <w:rFonts w:ascii="Calibri" w:hAnsi="Calibri" w:cs="Calibri"/>
          <w:spacing w:val="-3"/>
        </w:rPr>
        <w:t>a</w:t>
      </w:r>
      <w:r>
        <w:rPr>
          <w:rFonts w:ascii="Calibri" w:hAnsi="Calibri" w:cs="Calibri"/>
        </w:rPr>
        <w:t>wr</w:t>
      </w:r>
      <w:r>
        <w:rPr>
          <w:rFonts w:ascii="Calibri" w:hAnsi="Calibri" w:cs="Calibri"/>
          <w:spacing w:val="-1"/>
        </w:rPr>
        <w:t>/</w:t>
      </w:r>
      <w:r>
        <w:rPr>
          <w:rFonts w:ascii="Calibri" w:hAnsi="Calibri" w:cs="Calibri"/>
        </w:rPr>
        <w:t>Belle</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 xml:space="preserve">re project, the Crandon project coordinates Subsidy Administration activities through Catholic Charities. </w:t>
      </w:r>
    </w:p>
    <w:p w:rsidR="003F4BBA" w:rsidRDefault="003F4BBA" w:rsidP="00C23472">
      <w:pPr>
        <w:autoSpaceDE w:val="0"/>
        <w:autoSpaceDN w:val="0"/>
        <w:adjustRightInd w:val="0"/>
        <w:spacing w:before="16" w:after="0"/>
        <w:ind w:left="40" w:right="134"/>
        <w:rPr>
          <w:rFonts w:ascii="Calibri" w:hAnsi="Calibri" w:cs="Calibri"/>
        </w:rPr>
      </w:pPr>
    </w:p>
    <w:p w:rsidR="003F4BBA" w:rsidRDefault="003F4BBA" w:rsidP="003F4BBA">
      <w:pPr>
        <w:pStyle w:val="ListParagraph"/>
        <w:spacing w:after="0"/>
        <w:ind w:left="0"/>
      </w:pPr>
      <w:r>
        <w:t xml:space="preserve">Trilogy employees are in the process of identifying consumers from their ‘Unable to Serve’ list to explore their interest in occupancy in this building.  Several Class Members who initially expressed interest subsequently changed their minds and declined the units.  Therefore, Trilogy expanded the offer to other provider agencies with </w:t>
      </w:r>
      <w:r w:rsidR="00DA1DEE">
        <w:t xml:space="preserve">‘Unable to Serve’ </w:t>
      </w:r>
      <w:r>
        <w:t>Class Members</w:t>
      </w:r>
      <w:r w:rsidR="00DA1DEE">
        <w:t>.</w:t>
      </w:r>
      <w:r>
        <w:t xml:space="preserve">   As of May 11, 2015 ten Class Members have looked at the units.  Four Class Members have signed leases and will move by the end of May or early</w:t>
      </w:r>
      <w:r w:rsidR="00F4666F">
        <w:t xml:space="preserve"> June</w:t>
      </w:r>
      <w:r>
        <w:t xml:space="preserve">.   </w:t>
      </w:r>
      <w:r w:rsidR="00073A15">
        <w:t>Four</w:t>
      </w:r>
      <w:r w:rsidR="009F30A3">
        <w:t xml:space="preserve"> Class Members viewed the units but chose to look elsewhere. </w:t>
      </w:r>
      <w:r w:rsidR="00073A15">
        <w:t>Two</w:t>
      </w:r>
      <w:r>
        <w:t xml:space="preserve"> Class Members refused the location</w:t>
      </w:r>
      <w:r w:rsidR="009F30A3">
        <w:t xml:space="preserve">.  </w:t>
      </w:r>
      <w:r>
        <w:t>An additional 5 Class Members have been identified by other agencies as potential referrals.   It is expected</w:t>
      </w:r>
      <w:r w:rsidR="009F0393">
        <w:t xml:space="preserve"> that</w:t>
      </w:r>
      <w:r>
        <w:t xml:space="preserve"> Trilogy target to have all ten units fully will be occupied by July 1, 2015. </w:t>
      </w:r>
      <w:r w:rsidRPr="000E7D81">
        <w:t xml:space="preserve"> </w:t>
      </w:r>
      <w:r>
        <w:t xml:space="preserve">All staff have been hired and trained.  </w:t>
      </w:r>
    </w:p>
    <w:p w:rsidR="003F4BBA" w:rsidRDefault="003F4BBA" w:rsidP="00C23472">
      <w:pPr>
        <w:autoSpaceDE w:val="0"/>
        <w:autoSpaceDN w:val="0"/>
        <w:adjustRightInd w:val="0"/>
        <w:spacing w:before="16" w:after="0"/>
        <w:ind w:left="40" w:right="134"/>
        <w:rPr>
          <w:rFonts w:ascii="Calibri" w:hAnsi="Calibri" w:cs="Calibri"/>
        </w:rPr>
      </w:pPr>
    </w:p>
    <w:p w:rsidR="003F4BBA" w:rsidRDefault="003F4BBA" w:rsidP="003F4BBA">
      <w:pPr>
        <w:pStyle w:val="ListParagraph"/>
        <w:spacing w:after="0"/>
        <w:ind w:left="0"/>
      </w:pPr>
      <w:r>
        <w:t>While this model has proven to be efficient in addressing the transition needs of those Class Members who would otherwise not have been afforded the option to live independently in a scattered site unit due to their risk factors, it nevertheless should be emphasized that this model is contingent on the availability of property, sized to accommodate the 25% restriction, and the landlord’s interest and willingness to master lease units.  These factors are outside of DMH’s control or our ability to firmly commit to Cluster Housing expansion.</w:t>
      </w:r>
    </w:p>
    <w:p w:rsidR="005D6303" w:rsidRDefault="005D6303" w:rsidP="003F4BBA">
      <w:pPr>
        <w:pStyle w:val="ListParagraph"/>
        <w:spacing w:after="0"/>
        <w:ind w:left="0"/>
      </w:pPr>
    </w:p>
    <w:p w:rsidR="00C23472" w:rsidRDefault="00C23472" w:rsidP="00C23472">
      <w:pPr>
        <w:autoSpaceDE w:val="0"/>
        <w:autoSpaceDN w:val="0"/>
        <w:adjustRightInd w:val="0"/>
        <w:spacing w:before="7" w:after="0" w:line="190" w:lineRule="exact"/>
        <w:rPr>
          <w:rFonts w:ascii="Calibri" w:hAnsi="Calibri" w:cs="Calibri"/>
          <w:sz w:val="19"/>
          <w:szCs w:val="19"/>
        </w:rPr>
      </w:pPr>
    </w:p>
    <w:p w:rsidR="00C23472" w:rsidRDefault="00C23472" w:rsidP="00C23472">
      <w:pPr>
        <w:autoSpaceDE w:val="0"/>
        <w:autoSpaceDN w:val="0"/>
        <w:adjustRightInd w:val="0"/>
        <w:spacing w:before="1" w:after="0" w:line="110" w:lineRule="exact"/>
        <w:rPr>
          <w:rFonts w:ascii="Calibri" w:hAnsi="Calibri" w:cs="Calibri"/>
          <w:sz w:val="11"/>
          <w:szCs w:val="11"/>
        </w:rPr>
      </w:pPr>
    </w:p>
    <w:p w:rsidR="00C23472" w:rsidRPr="00A67E8F" w:rsidRDefault="00C23472" w:rsidP="006E6B77">
      <w:pPr>
        <w:autoSpaceDE w:val="0"/>
        <w:autoSpaceDN w:val="0"/>
        <w:adjustRightInd w:val="0"/>
        <w:spacing w:after="0"/>
        <w:rPr>
          <w:rFonts w:ascii="Calibri" w:hAnsi="Calibri" w:cs="Calibri"/>
          <w:b/>
          <w:iCs/>
          <w:u w:val="single"/>
        </w:rPr>
      </w:pPr>
      <w:r w:rsidRPr="00A67E8F">
        <w:rPr>
          <w:rFonts w:ascii="Calibri" w:hAnsi="Calibri" w:cs="Calibri"/>
          <w:b/>
          <w:iCs/>
          <w:spacing w:val="1"/>
          <w:u w:val="single"/>
        </w:rPr>
        <w:t>S</w:t>
      </w:r>
      <w:r w:rsidRPr="00A67E8F">
        <w:rPr>
          <w:rFonts w:ascii="Calibri" w:hAnsi="Calibri" w:cs="Calibri"/>
          <w:b/>
          <w:iCs/>
          <w:u w:val="single"/>
        </w:rPr>
        <w:t>tat</w:t>
      </w:r>
      <w:r w:rsidRPr="00A67E8F">
        <w:rPr>
          <w:rFonts w:ascii="Calibri" w:hAnsi="Calibri" w:cs="Calibri"/>
          <w:b/>
          <w:iCs/>
          <w:spacing w:val="-2"/>
          <w:u w:val="single"/>
        </w:rPr>
        <w:t>e</w:t>
      </w:r>
      <w:r w:rsidRPr="00A67E8F">
        <w:rPr>
          <w:rFonts w:ascii="Calibri" w:hAnsi="Calibri" w:cs="Calibri"/>
          <w:b/>
          <w:iCs/>
          <w:u w:val="single"/>
        </w:rPr>
        <w:t>wide Re</w:t>
      </w:r>
      <w:r w:rsidRPr="00A67E8F">
        <w:rPr>
          <w:rFonts w:ascii="Calibri" w:hAnsi="Calibri" w:cs="Calibri"/>
          <w:b/>
          <w:iCs/>
          <w:spacing w:val="-2"/>
          <w:u w:val="single"/>
        </w:rPr>
        <w:t>f</w:t>
      </w:r>
      <w:r w:rsidRPr="00A67E8F">
        <w:rPr>
          <w:rFonts w:ascii="Calibri" w:hAnsi="Calibri" w:cs="Calibri"/>
          <w:b/>
          <w:iCs/>
          <w:u w:val="single"/>
        </w:rPr>
        <w:t>e</w:t>
      </w:r>
      <w:r w:rsidRPr="00A67E8F">
        <w:rPr>
          <w:rFonts w:ascii="Calibri" w:hAnsi="Calibri" w:cs="Calibri"/>
          <w:b/>
          <w:iCs/>
          <w:spacing w:val="-1"/>
          <w:u w:val="single"/>
        </w:rPr>
        <w:t>r</w:t>
      </w:r>
      <w:r w:rsidRPr="00A67E8F">
        <w:rPr>
          <w:rFonts w:ascii="Calibri" w:hAnsi="Calibri" w:cs="Calibri"/>
          <w:b/>
          <w:iCs/>
          <w:spacing w:val="1"/>
          <w:u w:val="single"/>
        </w:rPr>
        <w:t>r</w:t>
      </w:r>
      <w:r w:rsidRPr="00A67E8F">
        <w:rPr>
          <w:rFonts w:ascii="Calibri" w:hAnsi="Calibri" w:cs="Calibri"/>
          <w:b/>
          <w:iCs/>
          <w:spacing w:val="-1"/>
          <w:u w:val="single"/>
        </w:rPr>
        <w:t>a</w:t>
      </w:r>
      <w:r w:rsidRPr="00A67E8F">
        <w:rPr>
          <w:rFonts w:ascii="Calibri" w:hAnsi="Calibri" w:cs="Calibri"/>
          <w:b/>
          <w:iCs/>
          <w:u w:val="single"/>
        </w:rPr>
        <w:t xml:space="preserve">l </w:t>
      </w:r>
      <w:r w:rsidRPr="00A67E8F">
        <w:rPr>
          <w:rFonts w:ascii="Calibri" w:hAnsi="Calibri" w:cs="Calibri"/>
          <w:b/>
          <w:iCs/>
          <w:spacing w:val="-1"/>
          <w:u w:val="single"/>
        </w:rPr>
        <w:t>N</w:t>
      </w:r>
      <w:r w:rsidRPr="00A67E8F">
        <w:rPr>
          <w:rFonts w:ascii="Calibri" w:hAnsi="Calibri" w:cs="Calibri"/>
          <w:b/>
          <w:iCs/>
          <w:u w:val="single"/>
        </w:rPr>
        <w:t>e</w:t>
      </w:r>
      <w:r w:rsidRPr="00A67E8F">
        <w:rPr>
          <w:rFonts w:ascii="Calibri" w:hAnsi="Calibri" w:cs="Calibri"/>
          <w:b/>
          <w:iCs/>
          <w:spacing w:val="-2"/>
          <w:u w:val="single"/>
        </w:rPr>
        <w:t>t</w:t>
      </w:r>
      <w:r w:rsidRPr="00A67E8F">
        <w:rPr>
          <w:rFonts w:ascii="Calibri" w:hAnsi="Calibri" w:cs="Calibri"/>
          <w:b/>
          <w:iCs/>
          <w:u w:val="single"/>
        </w:rPr>
        <w:t>wo</w:t>
      </w:r>
      <w:r w:rsidRPr="00A67E8F">
        <w:rPr>
          <w:rFonts w:ascii="Calibri" w:hAnsi="Calibri" w:cs="Calibri"/>
          <w:b/>
          <w:iCs/>
          <w:spacing w:val="-1"/>
          <w:u w:val="single"/>
        </w:rPr>
        <w:t>r</w:t>
      </w:r>
      <w:r w:rsidRPr="00A67E8F">
        <w:rPr>
          <w:rFonts w:ascii="Calibri" w:hAnsi="Calibri" w:cs="Calibri"/>
          <w:b/>
          <w:iCs/>
          <w:u w:val="single"/>
        </w:rPr>
        <w:t>k</w:t>
      </w:r>
      <w:r w:rsidRPr="00A67E8F">
        <w:rPr>
          <w:rFonts w:ascii="Calibri" w:hAnsi="Calibri" w:cs="Calibri"/>
          <w:b/>
          <w:iCs/>
          <w:spacing w:val="1"/>
          <w:u w:val="single"/>
        </w:rPr>
        <w:t xml:space="preserve"> </w:t>
      </w:r>
      <w:r w:rsidRPr="00A67E8F">
        <w:rPr>
          <w:rFonts w:ascii="Calibri" w:hAnsi="Calibri" w:cs="Calibri"/>
          <w:b/>
          <w:iCs/>
          <w:u w:val="single"/>
        </w:rPr>
        <w:t>(</w:t>
      </w:r>
      <w:r w:rsidRPr="00A67E8F">
        <w:rPr>
          <w:rFonts w:ascii="Calibri" w:hAnsi="Calibri" w:cs="Calibri"/>
          <w:b/>
          <w:iCs/>
          <w:spacing w:val="-1"/>
          <w:u w:val="single"/>
        </w:rPr>
        <w:t>S</w:t>
      </w:r>
      <w:r w:rsidRPr="00A67E8F">
        <w:rPr>
          <w:rFonts w:ascii="Calibri" w:hAnsi="Calibri" w:cs="Calibri"/>
          <w:b/>
          <w:iCs/>
          <w:u w:val="single"/>
        </w:rPr>
        <w:t>R</w:t>
      </w:r>
      <w:r w:rsidRPr="00A67E8F">
        <w:rPr>
          <w:rFonts w:ascii="Calibri" w:hAnsi="Calibri" w:cs="Calibri"/>
          <w:b/>
          <w:iCs/>
          <w:spacing w:val="-1"/>
          <w:u w:val="single"/>
        </w:rPr>
        <w:t>N</w:t>
      </w:r>
      <w:r w:rsidRPr="00A67E8F">
        <w:rPr>
          <w:rFonts w:ascii="Calibri" w:hAnsi="Calibri" w:cs="Calibri"/>
          <w:b/>
          <w:iCs/>
          <w:u w:val="single"/>
        </w:rPr>
        <w:t>) and ILHousingSearch.org (housing locator)</w:t>
      </w:r>
    </w:p>
    <w:p w:rsidR="00A67E8F" w:rsidRPr="00A67E8F" w:rsidRDefault="00A67E8F" w:rsidP="006E6B77">
      <w:pPr>
        <w:autoSpaceDE w:val="0"/>
        <w:autoSpaceDN w:val="0"/>
        <w:adjustRightInd w:val="0"/>
        <w:spacing w:after="0"/>
        <w:rPr>
          <w:rFonts w:ascii="Calibri" w:hAnsi="Calibri" w:cs="Calibri"/>
          <w:b/>
        </w:rPr>
      </w:pPr>
    </w:p>
    <w:p w:rsidR="00C23472" w:rsidRDefault="00C23472" w:rsidP="006E6B77">
      <w:pPr>
        <w:autoSpaceDE w:val="0"/>
        <w:autoSpaceDN w:val="0"/>
        <w:adjustRightInd w:val="0"/>
        <w:spacing w:after="0"/>
        <w:rPr>
          <w:rFonts w:ascii="Calibri" w:hAnsi="Calibri" w:cs="Calibri"/>
        </w:rPr>
      </w:pPr>
      <w:r>
        <w:rPr>
          <w:rFonts w:ascii="Calibri" w:hAnsi="Calibri" w:cs="Calibri"/>
        </w:rPr>
        <w:t xml:space="preserve">In order to encourage the use of existing affordable housing resources by Williams </w:t>
      </w:r>
      <w:r w:rsidR="00944086">
        <w:rPr>
          <w:rFonts w:ascii="Calibri" w:hAnsi="Calibri" w:cs="Calibri"/>
        </w:rPr>
        <w:t>Class Members</w:t>
      </w:r>
      <w:r>
        <w:rPr>
          <w:rFonts w:ascii="Calibri" w:hAnsi="Calibri" w:cs="Calibri"/>
        </w:rPr>
        <w:t>, five webinar trainings focusing on the Statewide Referral Network and ILHousingSearch.org were held in March and April of 2015. Hundreds of case managers, transition coordinators and housing locators attended these trainings which highlighted the various upgrades to the housing locator, including the Saved Search function, Waterfall feature and streamlined processes. One of the webinars was recorded and is being disseminated to persons who may have missed the earlier training opportunities.</w:t>
      </w:r>
    </w:p>
    <w:p w:rsidR="00C23472" w:rsidRDefault="00C23472" w:rsidP="006E6B77">
      <w:pPr>
        <w:autoSpaceDE w:val="0"/>
        <w:autoSpaceDN w:val="0"/>
        <w:adjustRightInd w:val="0"/>
        <w:spacing w:after="0"/>
        <w:rPr>
          <w:rFonts w:ascii="Calibri" w:hAnsi="Calibri" w:cs="Calibri"/>
        </w:rPr>
      </w:pPr>
    </w:p>
    <w:p w:rsidR="00C23472" w:rsidRDefault="00C23472" w:rsidP="006E6B77">
      <w:pPr>
        <w:autoSpaceDE w:val="0"/>
        <w:autoSpaceDN w:val="0"/>
        <w:adjustRightInd w:val="0"/>
        <w:spacing w:after="0"/>
        <w:rPr>
          <w:rFonts w:ascii="Calibri" w:hAnsi="Calibri" w:cs="Calibri"/>
        </w:rPr>
      </w:pPr>
      <w:r>
        <w:rPr>
          <w:rFonts w:ascii="Calibri" w:hAnsi="Calibri" w:cs="Calibri"/>
        </w:rPr>
        <w:lastRenderedPageBreak/>
        <w:t>SocialServe, software vendors for ILHousingSearch.org, began a targeted landlord outreach campaign in March. With information from utilizers of ILHousingSearch.org and Saved Search data from locations without available units, 19 counties were targeted. Pertinent to Williams, these counties included Lake, Peoria and Kankakee. A</w:t>
      </w:r>
      <w:r w:rsidR="00DA1DEE">
        <w:rPr>
          <w:rFonts w:ascii="Calibri" w:hAnsi="Calibri" w:cs="Calibri"/>
        </w:rPr>
        <w:t>s a result of this outreach, a</w:t>
      </w:r>
      <w:r>
        <w:rPr>
          <w:rFonts w:ascii="Calibri" w:hAnsi="Calibri" w:cs="Calibri"/>
        </w:rPr>
        <w:t>n additional 1,417 units managed by 49 landlords were added to the housing locator (314 units in Lake, Peoria and Kankakee managed by 8 landlords). SocialServe will continue this outreach effort over May and June. We will reassess the communities with greatest housing need on a periodic basis for further outreach efforts.</w:t>
      </w:r>
    </w:p>
    <w:p w:rsidR="00C23472" w:rsidRDefault="00C23472" w:rsidP="006E6B77">
      <w:pPr>
        <w:autoSpaceDE w:val="0"/>
        <w:autoSpaceDN w:val="0"/>
        <w:adjustRightInd w:val="0"/>
        <w:spacing w:after="0"/>
        <w:rPr>
          <w:rFonts w:ascii="Calibri" w:hAnsi="Calibri" w:cs="Calibri"/>
        </w:rPr>
      </w:pPr>
    </w:p>
    <w:p w:rsidR="00C23472" w:rsidRDefault="00DA1DEE" w:rsidP="00CA6FEF">
      <w:pPr>
        <w:autoSpaceDE w:val="0"/>
        <w:autoSpaceDN w:val="0"/>
        <w:adjustRightInd w:val="0"/>
        <w:spacing w:after="0"/>
        <w:rPr>
          <w:rFonts w:ascii="Calibri" w:hAnsi="Calibri" w:cs="Calibri"/>
        </w:rPr>
      </w:pPr>
      <w:r>
        <w:rPr>
          <w:rFonts w:ascii="Calibri" w:hAnsi="Calibri" w:cs="Calibri"/>
        </w:rPr>
        <w:t xml:space="preserve">On </w:t>
      </w:r>
      <w:r w:rsidR="00C23472">
        <w:rPr>
          <w:rFonts w:ascii="Calibri" w:hAnsi="Calibri" w:cs="Calibri"/>
        </w:rPr>
        <w:t xml:space="preserve">January 1, 2015, the Illinois Housing Development Authority (IHDA) began to use a new feature within ILHousingSearch.org. The periodic polling feature is designed to automatically email property managers/owners of properties that include Statewide Referral Network (SRN) units on the first of each month to ask about upcoming availability of SRN units. This allows for “marketing” of these vacant units to case managers, housing locators and care coordinators working with people who need access to affordable housing.  As property management personnel change frequently, the periodic polling feature also asks for updated contact information. If there is no response from a property to the email, a second email is triggered and finally a personal contact from the IHDA Section 811/SRN Program Coordinator. This means that new property management staff are educated about their responsibilities related to providing SRN units for the life of the property and no opportunities to offer affordable housing to </w:t>
      </w:r>
      <w:r w:rsidR="005E147B">
        <w:rPr>
          <w:rFonts w:ascii="Calibri" w:hAnsi="Calibri" w:cs="Calibri"/>
        </w:rPr>
        <w:t>Williams</w:t>
      </w:r>
      <w:r w:rsidR="00C23472">
        <w:rPr>
          <w:rFonts w:ascii="Calibri" w:hAnsi="Calibri" w:cs="Calibri"/>
        </w:rPr>
        <w:t xml:space="preserve"> </w:t>
      </w:r>
      <w:r w:rsidR="00944086">
        <w:rPr>
          <w:rFonts w:ascii="Calibri" w:hAnsi="Calibri" w:cs="Calibri"/>
        </w:rPr>
        <w:t>Class Members</w:t>
      </w:r>
      <w:r w:rsidR="00C23472">
        <w:rPr>
          <w:rFonts w:ascii="Calibri" w:hAnsi="Calibri" w:cs="Calibri"/>
        </w:rPr>
        <w:t xml:space="preserve"> </w:t>
      </w:r>
      <w:r>
        <w:rPr>
          <w:rFonts w:ascii="Calibri" w:hAnsi="Calibri" w:cs="Calibri"/>
        </w:rPr>
        <w:t>are</w:t>
      </w:r>
      <w:r w:rsidR="00C23472">
        <w:rPr>
          <w:rFonts w:ascii="Calibri" w:hAnsi="Calibri" w:cs="Calibri"/>
        </w:rPr>
        <w:t xml:space="preserve"> lost.</w:t>
      </w:r>
    </w:p>
    <w:p w:rsidR="00C23472" w:rsidRDefault="00C23472" w:rsidP="00CA6FEF">
      <w:pPr>
        <w:autoSpaceDE w:val="0"/>
        <w:autoSpaceDN w:val="0"/>
        <w:adjustRightInd w:val="0"/>
        <w:spacing w:after="0"/>
        <w:rPr>
          <w:rFonts w:ascii="Calibri" w:hAnsi="Calibri" w:cs="Calibri"/>
        </w:rPr>
      </w:pPr>
    </w:p>
    <w:p w:rsidR="00C23472" w:rsidRDefault="00C23472" w:rsidP="00CA6FEF">
      <w:pPr>
        <w:autoSpaceDE w:val="0"/>
        <w:autoSpaceDN w:val="0"/>
        <w:adjustRightInd w:val="0"/>
        <w:spacing w:after="0"/>
        <w:rPr>
          <w:rFonts w:ascii="Calibri" w:hAnsi="Calibri" w:cs="Calibri"/>
          <w:i/>
          <w:u w:val="single"/>
        </w:rPr>
      </w:pPr>
      <w:r>
        <w:rPr>
          <w:rFonts w:ascii="Calibri" w:hAnsi="Calibri" w:cs="Calibri"/>
          <w:i/>
          <w:u w:val="single"/>
        </w:rPr>
        <w:t>Heads Up On Housing (HUOH) emails</w:t>
      </w:r>
    </w:p>
    <w:p w:rsidR="00C23472" w:rsidRPr="00F074C7" w:rsidRDefault="00C23472" w:rsidP="00CA6FEF">
      <w:pPr>
        <w:autoSpaceDE w:val="0"/>
        <w:autoSpaceDN w:val="0"/>
        <w:adjustRightInd w:val="0"/>
        <w:spacing w:after="0"/>
        <w:rPr>
          <w:rFonts w:ascii="Calibri" w:hAnsi="Calibri" w:cs="Calibri"/>
        </w:rPr>
      </w:pPr>
      <w:r>
        <w:rPr>
          <w:rFonts w:ascii="Calibri" w:hAnsi="Calibri" w:cs="Calibri"/>
        </w:rPr>
        <w:t xml:space="preserve">In December of 2014, the Statewide Housing Coordinator (SHC) began sending out Heads Up On Housing (HUOH) email blasts to housing locators, case managers, care coordinators, Managed Care Organizations (MCOs) and other interested parties. These email blasts included information about currently available housing opportunities around the state, trainings and other housing related information. HUOH is sent to more than 800 people at least once a month. </w:t>
      </w:r>
    </w:p>
    <w:p w:rsidR="00C23472" w:rsidRDefault="00C23472" w:rsidP="00CA6FEF">
      <w:pPr>
        <w:autoSpaceDE w:val="0"/>
        <w:autoSpaceDN w:val="0"/>
        <w:adjustRightInd w:val="0"/>
        <w:spacing w:after="0"/>
        <w:rPr>
          <w:rFonts w:ascii="Calibri" w:hAnsi="Calibri" w:cs="Calibri"/>
        </w:rPr>
      </w:pPr>
    </w:p>
    <w:p w:rsidR="00C23472" w:rsidRDefault="00C23472" w:rsidP="00CA6FEF">
      <w:pPr>
        <w:autoSpaceDE w:val="0"/>
        <w:autoSpaceDN w:val="0"/>
        <w:adjustRightInd w:val="0"/>
        <w:spacing w:after="0"/>
        <w:rPr>
          <w:rFonts w:ascii="Calibri" w:hAnsi="Calibri" w:cs="Calibri"/>
          <w:color w:val="000000"/>
          <w:sz w:val="11"/>
          <w:szCs w:val="11"/>
        </w:rPr>
      </w:pPr>
    </w:p>
    <w:p w:rsidR="00C23472" w:rsidRDefault="00C23472" w:rsidP="00CA6FEF">
      <w:pPr>
        <w:autoSpaceDE w:val="0"/>
        <w:autoSpaceDN w:val="0"/>
        <w:adjustRightInd w:val="0"/>
        <w:spacing w:after="0"/>
        <w:rPr>
          <w:rFonts w:ascii="Calibri" w:hAnsi="Calibri" w:cs="Calibri"/>
        </w:rPr>
      </w:pPr>
      <w:r>
        <w:rPr>
          <w:rFonts w:ascii="Calibri" w:hAnsi="Calibri" w:cs="Calibri"/>
          <w:b/>
          <w:bCs/>
          <w:u w:val="single"/>
        </w:rPr>
        <w:t>F</w:t>
      </w:r>
      <w:r>
        <w:rPr>
          <w:rFonts w:ascii="Calibri" w:hAnsi="Calibri" w:cs="Calibri"/>
          <w:b/>
          <w:bCs/>
          <w:spacing w:val="-1"/>
          <w:u w:val="single"/>
        </w:rPr>
        <w:t>ede</w:t>
      </w:r>
      <w:r>
        <w:rPr>
          <w:rFonts w:ascii="Calibri" w:hAnsi="Calibri" w:cs="Calibri"/>
          <w:b/>
          <w:bCs/>
          <w:spacing w:val="1"/>
          <w:u w:val="single"/>
        </w:rPr>
        <w:t>r</w:t>
      </w:r>
      <w:r>
        <w:rPr>
          <w:rFonts w:ascii="Calibri" w:hAnsi="Calibri" w:cs="Calibri"/>
          <w:b/>
          <w:bCs/>
          <w:spacing w:val="-1"/>
          <w:u w:val="single"/>
        </w:rPr>
        <w:t>a</w:t>
      </w:r>
      <w:r>
        <w:rPr>
          <w:rFonts w:ascii="Calibri" w:hAnsi="Calibri" w:cs="Calibri"/>
          <w:b/>
          <w:bCs/>
          <w:spacing w:val="1"/>
          <w:u w:val="single"/>
        </w:rPr>
        <w:t>ll</w:t>
      </w:r>
      <w:r>
        <w:rPr>
          <w:rFonts w:ascii="Calibri" w:hAnsi="Calibri" w:cs="Calibri"/>
          <w:b/>
          <w:bCs/>
          <w:u w:val="single"/>
        </w:rPr>
        <w:t>y</w:t>
      </w:r>
      <w:r>
        <w:rPr>
          <w:rFonts w:ascii="Calibri" w:hAnsi="Calibri" w:cs="Calibri"/>
          <w:b/>
          <w:bCs/>
          <w:spacing w:val="1"/>
          <w:u w:val="single"/>
        </w:rPr>
        <w:t xml:space="preserve"> </w:t>
      </w:r>
      <w:r>
        <w:rPr>
          <w:rFonts w:ascii="Calibri" w:hAnsi="Calibri" w:cs="Calibri"/>
          <w:b/>
          <w:bCs/>
          <w:u w:val="single"/>
        </w:rPr>
        <w:t>F</w:t>
      </w:r>
      <w:r>
        <w:rPr>
          <w:rFonts w:ascii="Calibri" w:hAnsi="Calibri" w:cs="Calibri"/>
          <w:b/>
          <w:bCs/>
          <w:spacing w:val="-1"/>
          <w:u w:val="single"/>
        </w:rPr>
        <w:t>unde</w:t>
      </w:r>
      <w:r>
        <w:rPr>
          <w:rFonts w:ascii="Calibri" w:hAnsi="Calibri" w:cs="Calibri"/>
          <w:b/>
          <w:bCs/>
          <w:u w:val="single"/>
        </w:rPr>
        <w:t>d</w:t>
      </w:r>
      <w:r>
        <w:rPr>
          <w:rFonts w:ascii="Calibri" w:hAnsi="Calibri" w:cs="Calibri"/>
          <w:b/>
          <w:bCs/>
          <w:spacing w:val="-1"/>
          <w:u w:val="single"/>
        </w:rPr>
        <w:t xml:space="preserve"> </w:t>
      </w:r>
      <w:r>
        <w:rPr>
          <w:rFonts w:ascii="Calibri" w:hAnsi="Calibri" w:cs="Calibri"/>
          <w:b/>
          <w:bCs/>
          <w:u w:val="single"/>
        </w:rPr>
        <w:t>H</w:t>
      </w:r>
      <w:r>
        <w:rPr>
          <w:rFonts w:ascii="Calibri" w:hAnsi="Calibri" w:cs="Calibri"/>
          <w:b/>
          <w:bCs/>
          <w:spacing w:val="-1"/>
          <w:u w:val="single"/>
        </w:rPr>
        <w:t>ou</w:t>
      </w:r>
      <w:r>
        <w:rPr>
          <w:rFonts w:ascii="Calibri" w:hAnsi="Calibri" w:cs="Calibri"/>
          <w:b/>
          <w:bCs/>
          <w:u w:val="single"/>
        </w:rPr>
        <w:t>s</w:t>
      </w:r>
      <w:r>
        <w:rPr>
          <w:rFonts w:ascii="Calibri" w:hAnsi="Calibri" w:cs="Calibri"/>
          <w:b/>
          <w:bCs/>
          <w:spacing w:val="1"/>
          <w:u w:val="single"/>
        </w:rPr>
        <w:t>i</w:t>
      </w:r>
      <w:r>
        <w:rPr>
          <w:rFonts w:ascii="Calibri" w:hAnsi="Calibri" w:cs="Calibri"/>
          <w:b/>
          <w:bCs/>
          <w:spacing w:val="-3"/>
          <w:u w:val="single"/>
        </w:rPr>
        <w:t>n</w:t>
      </w:r>
      <w:r>
        <w:rPr>
          <w:rFonts w:ascii="Calibri" w:hAnsi="Calibri" w:cs="Calibri"/>
          <w:b/>
          <w:bCs/>
          <w:u w:val="single"/>
        </w:rPr>
        <w:t>g</w:t>
      </w:r>
      <w:r>
        <w:rPr>
          <w:rFonts w:ascii="Calibri" w:hAnsi="Calibri" w:cs="Calibri"/>
          <w:b/>
          <w:bCs/>
          <w:spacing w:val="-1"/>
          <w:u w:val="single"/>
        </w:rPr>
        <w:t xml:space="preserve"> </w:t>
      </w:r>
      <w:r>
        <w:rPr>
          <w:rFonts w:ascii="Calibri" w:hAnsi="Calibri" w:cs="Calibri"/>
          <w:b/>
          <w:bCs/>
          <w:u w:val="single"/>
        </w:rPr>
        <w:t>Reso</w:t>
      </w:r>
      <w:r>
        <w:rPr>
          <w:rFonts w:ascii="Calibri" w:hAnsi="Calibri" w:cs="Calibri"/>
          <w:b/>
          <w:bCs/>
          <w:spacing w:val="-2"/>
          <w:u w:val="single"/>
        </w:rPr>
        <w:t>u</w:t>
      </w:r>
      <w:r>
        <w:rPr>
          <w:rFonts w:ascii="Calibri" w:hAnsi="Calibri" w:cs="Calibri"/>
          <w:b/>
          <w:bCs/>
          <w:spacing w:val="1"/>
          <w:u w:val="single"/>
        </w:rPr>
        <w:t>rc</w:t>
      </w:r>
      <w:r>
        <w:rPr>
          <w:rFonts w:ascii="Calibri" w:hAnsi="Calibri" w:cs="Calibri"/>
          <w:b/>
          <w:bCs/>
          <w:spacing w:val="-3"/>
          <w:u w:val="single"/>
        </w:rPr>
        <w:t>e</w:t>
      </w:r>
      <w:r>
        <w:rPr>
          <w:rFonts w:ascii="Calibri" w:hAnsi="Calibri" w:cs="Calibri"/>
          <w:b/>
          <w:bCs/>
          <w:u w:val="single"/>
        </w:rPr>
        <w:t>s</w:t>
      </w:r>
    </w:p>
    <w:p w:rsidR="00C23472" w:rsidRDefault="00C23472" w:rsidP="00CA6FEF">
      <w:pPr>
        <w:autoSpaceDE w:val="0"/>
        <w:autoSpaceDN w:val="0"/>
        <w:adjustRightInd w:val="0"/>
        <w:spacing w:after="0"/>
        <w:rPr>
          <w:rFonts w:ascii="Calibri" w:hAnsi="Calibri" w:cs="Calibri"/>
          <w:color w:val="000000"/>
          <w:u w:val="single"/>
        </w:rPr>
      </w:pPr>
    </w:p>
    <w:p w:rsidR="00C23472" w:rsidRDefault="00C23472" w:rsidP="00CA6FEF">
      <w:pPr>
        <w:autoSpaceDE w:val="0"/>
        <w:autoSpaceDN w:val="0"/>
        <w:adjustRightInd w:val="0"/>
        <w:spacing w:after="0"/>
        <w:rPr>
          <w:rFonts w:ascii="Calibri" w:hAnsi="Calibri" w:cs="Calibri"/>
          <w:color w:val="000000"/>
        </w:rPr>
      </w:pPr>
      <w:r>
        <w:rPr>
          <w:rFonts w:ascii="Calibri" w:hAnsi="Calibri" w:cs="Calibri"/>
          <w:color w:val="000000"/>
          <w:u w:val="single"/>
        </w:rPr>
        <w:t>Secti</w:t>
      </w:r>
      <w:r>
        <w:rPr>
          <w:rFonts w:ascii="Calibri" w:hAnsi="Calibri" w:cs="Calibri"/>
          <w:color w:val="000000"/>
          <w:spacing w:val="1"/>
          <w:u w:val="single"/>
        </w:rPr>
        <w:t>o</w:t>
      </w:r>
      <w:r>
        <w:rPr>
          <w:rFonts w:ascii="Calibri" w:hAnsi="Calibri" w:cs="Calibri"/>
          <w:color w:val="000000"/>
          <w:u w:val="single"/>
        </w:rPr>
        <w:t>n 811</w:t>
      </w:r>
    </w:p>
    <w:p w:rsidR="00C23472" w:rsidRDefault="00C23472" w:rsidP="00CA6FEF">
      <w:pPr>
        <w:autoSpaceDE w:val="0"/>
        <w:autoSpaceDN w:val="0"/>
        <w:adjustRightInd w:val="0"/>
        <w:spacing w:before="8" w:after="0"/>
        <w:rPr>
          <w:rFonts w:ascii="Calibri" w:hAnsi="Calibri" w:cs="Calibri"/>
          <w:color w:val="000000"/>
          <w:sz w:val="13"/>
          <w:szCs w:val="13"/>
        </w:rPr>
      </w:pPr>
    </w:p>
    <w:p w:rsidR="00C23472" w:rsidRPr="00214E3A" w:rsidRDefault="00C23472" w:rsidP="00CA6FEF">
      <w:pPr>
        <w:autoSpaceDE w:val="0"/>
        <w:autoSpaceDN w:val="0"/>
        <w:adjustRightInd w:val="0"/>
        <w:spacing w:before="16" w:after="0"/>
        <w:rPr>
          <w:rFonts w:cs="Calibri"/>
          <w:color w:val="000000"/>
        </w:rPr>
      </w:pPr>
      <w:r w:rsidRPr="00214E3A">
        <w:rPr>
          <w:rFonts w:cs="Calibri"/>
          <w:color w:val="000000"/>
          <w:u w:val="single"/>
        </w:rPr>
        <w:t xml:space="preserve">FY </w:t>
      </w:r>
      <w:r w:rsidRPr="00214E3A">
        <w:rPr>
          <w:rFonts w:cs="Calibri"/>
          <w:color w:val="000000"/>
          <w:spacing w:val="-1"/>
          <w:u w:val="single"/>
        </w:rPr>
        <w:t>2</w:t>
      </w:r>
      <w:r w:rsidRPr="00214E3A">
        <w:rPr>
          <w:rFonts w:cs="Calibri"/>
          <w:color w:val="000000"/>
          <w:spacing w:val="1"/>
          <w:u w:val="single"/>
        </w:rPr>
        <w:t>0</w:t>
      </w:r>
      <w:r w:rsidRPr="00214E3A">
        <w:rPr>
          <w:rFonts w:cs="Calibri"/>
          <w:color w:val="000000"/>
          <w:spacing w:val="-2"/>
          <w:u w:val="single"/>
        </w:rPr>
        <w:t>1</w:t>
      </w:r>
      <w:r w:rsidRPr="00214E3A">
        <w:rPr>
          <w:rFonts w:cs="Calibri"/>
          <w:color w:val="000000"/>
          <w:u w:val="single"/>
        </w:rPr>
        <w:t>2</w:t>
      </w:r>
      <w:r w:rsidRPr="00214E3A">
        <w:rPr>
          <w:rFonts w:cs="Calibri"/>
          <w:color w:val="000000"/>
          <w:spacing w:val="1"/>
          <w:u w:val="single"/>
        </w:rPr>
        <w:t xml:space="preserve"> </w:t>
      </w:r>
      <w:r w:rsidRPr="00214E3A">
        <w:rPr>
          <w:rFonts w:cs="Calibri"/>
          <w:color w:val="000000"/>
          <w:u w:val="single"/>
        </w:rPr>
        <w:t>Se</w:t>
      </w:r>
      <w:r w:rsidRPr="00214E3A">
        <w:rPr>
          <w:rFonts w:cs="Calibri"/>
          <w:color w:val="000000"/>
          <w:spacing w:val="-2"/>
          <w:u w:val="single"/>
        </w:rPr>
        <w:t>c</w:t>
      </w:r>
      <w:r w:rsidRPr="00214E3A">
        <w:rPr>
          <w:rFonts w:cs="Calibri"/>
          <w:color w:val="000000"/>
          <w:u w:val="single"/>
        </w:rPr>
        <w:t>ti</w:t>
      </w:r>
      <w:r w:rsidRPr="00214E3A">
        <w:rPr>
          <w:rFonts w:cs="Calibri"/>
          <w:color w:val="000000"/>
          <w:spacing w:val="1"/>
          <w:u w:val="single"/>
        </w:rPr>
        <w:t>o</w:t>
      </w:r>
      <w:r w:rsidRPr="00214E3A">
        <w:rPr>
          <w:rFonts w:cs="Calibri"/>
          <w:color w:val="000000"/>
          <w:u w:val="single"/>
        </w:rPr>
        <w:t>n</w:t>
      </w:r>
      <w:r w:rsidRPr="00214E3A">
        <w:rPr>
          <w:rFonts w:cs="Calibri"/>
          <w:color w:val="000000"/>
          <w:spacing w:val="-3"/>
          <w:u w:val="single"/>
        </w:rPr>
        <w:t xml:space="preserve"> </w:t>
      </w:r>
      <w:r w:rsidRPr="00214E3A">
        <w:rPr>
          <w:rFonts w:cs="Calibri"/>
          <w:color w:val="000000"/>
          <w:spacing w:val="1"/>
          <w:u w:val="single"/>
        </w:rPr>
        <w:t>8</w:t>
      </w:r>
      <w:r w:rsidRPr="00214E3A">
        <w:rPr>
          <w:rFonts w:cs="Calibri"/>
          <w:color w:val="000000"/>
          <w:spacing w:val="-2"/>
          <w:u w:val="single"/>
        </w:rPr>
        <w:t>1</w:t>
      </w:r>
      <w:r w:rsidRPr="00214E3A">
        <w:rPr>
          <w:rFonts w:cs="Calibri"/>
          <w:color w:val="000000"/>
          <w:u w:val="single"/>
        </w:rPr>
        <w:t>1</w:t>
      </w:r>
      <w:r w:rsidRPr="00214E3A">
        <w:rPr>
          <w:rFonts w:cs="Calibri"/>
          <w:color w:val="000000"/>
          <w:spacing w:val="1"/>
          <w:u w:val="single"/>
        </w:rPr>
        <w:t xml:space="preserve"> </w:t>
      </w:r>
      <w:r w:rsidRPr="00214E3A">
        <w:rPr>
          <w:rFonts w:cs="Calibri"/>
          <w:color w:val="000000"/>
          <w:spacing w:val="-3"/>
          <w:u w:val="single"/>
        </w:rPr>
        <w:t>A</w:t>
      </w:r>
      <w:r w:rsidRPr="00214E3A">
        <w:rPr>
          <w:rFonts w:cs="Calibri"/>
          <w:color w:val="000000"/>
          <w:u w:val="single"/>
        </w:rPr>
        <w:t>war</w:t>
      </w:r>
      <w:r w:rsidRPr="00214E3A">
        <w:rPr>
          <w:rFonts w:cs="Calibri"/>
          <w:color w:val="000000"/>
          <w:spacing w:val="-3"/>
          <w:u w:val="single"/>
        </w:rPr>
        <w:t>d</w:t>
      </w:r>
      <w:r w:rsidRPr="00214E3A">
        <w:rPr>
          <w:rFonts w:cs="Calibri"/>
          <w:color w:val="000000"/>
          <w:u w:val="single"/>
        </w:rPr>
        <w:t>:</w:t>
      </w:r>
    </w:p>
    <w:p w:rsidR="00C23472" w:rsidRDefault="00C23472" w:rsidP="00CA6FEF">
      <w:pPr>
        <w:spacing w:after="0"/>
        <w:rPr>
          <w:rFonts w:cs="Times New Roman"/>
        </w:rPr>
      </w:pPr>
      <w:r>
        <w:t>A</w:t>
      </w:r>
      <w:r w:rsidRPr="00214E3A">
        <w:t xml:space="preserve"> three pronged approach to expeditiously acquire as many Section 811 P</w:t>
      </w:r>
      <w:r>
        <w:t xml:space="preserve">roject-Based </w:t>
      </w:r>
      <w:r w:rsidRPr="00214E3A">
        <w:t>R</w:t>
      </w:r>
      <w:r>
        <w:t xml:space="preserve">ental </w:t>
      </w:r>
      <w:r w:rsidRPr="00214E3A">
        <w:t>A</w:t>
      </w:r>
      <w:r>
        <w:t>ssistance (PRA)</w:t>
      </w:r>
      <w:r w:rsidRPr="00214E3A">
        <w:t xml:space="preserve"> units as possible in a rapid timeframe</w:t>
      </w:r>
      <w:r>
        <w:t xml:space="preserve"> has been approved by the Section 811 Interagency Panel and implemented by IHDA</w:t>
      </w:r>
      <w:r w:rsidRPr="00214E3A">
        <w:t>:</w:t>
      </w:r>
    </w:p>
    <w:p w:rsidR="00C23472" w:rsidRPr="00473C6B" w:rsidRDefault="00C23472" w:rsidP="00CA6FEF">
      <w:pPr>
        <w:spacing w:after="0"/>
      </w:pPr>
      <w:r w:rsidRPr="00214E3A">
        <w:t xml:space="preserve">1.       The Allocation </w:t>
      </w:r>
      <w:r>
        <w:t xml:space="preserve">Committee </w:t>
      </w:r>
      <w:r w:rsidRPr="00214E3A">
        <w:t>of the Section 811 committee selected 70 units to receive the first Rental Assistance Contracts (RACs) based on data provided by Williams, Ligas, Colbert and MFP (Communities of Preference).</w:t>
      </w:r>
      <w:r>
        <w:t xml:space="preserve"> </w:t>
      </w:r>
      <w:r w:rsidRPr="00473C6B">
        <w:t>Phase I signed Rental Assistance Contracts (RAC) went</w:t>
      </w:r>
      <w:r>
        <w:t xml:space="preserve"> before the IHDA Board </w:t>
      </w:r>
      <w:r w:rsidR="00DA1DEE">
        <w:t xml:space="preserve">in </w:t>
      </w:r>
      <w:r w:rsidRPr="00473C6B">
        <w:t>April, 2015 and were approved. IHDA staff will complete the RACs with property owners in May, 2015.</w:t>
      </w:r>
    </w:p>
    <w:p w:rsidR="00C23472" w:rsidRPr="00214E3A" w:rsidRDefault="00C23472" w:rsidP="00CA6FEF">
      <w:pPr>
        <w:spacing w:after="0"/>
      </w:pPr>
      <w:r w:rsidRPr="00214E3A">
        <w:lastRenderedPageBreak/>
        <w:t xml:space="preserve">2.       Every new Low Income Housing Tax Credit (LIHTC) project coming online (about to complete construction/rehab and lease up) that is within a Community of Preference will automatically receive a Rental Assistance Contract for their Statewide Referral Network units to become Section 811 PRA units. This will garner ongoing available units for </w:t>
      </w:r>
      <w:r w:rsidR="00944086">
        <w:t>Class Members</w:t>
      </w:r>
      <w:r w:rsidRPr="00214E3A">
        <w:t xml:space="preserve"> and MFP participants.</w:t>
      </w:r>
    </w:p>
    <w:p w:rsidR="00C23472" w:rsidRPr="00214E3A" w:rsidRDefault="00C23472" w:rsidP="00CA6FEF">
      <w:pPr>
        <w:spacing w:after="0"/>
        <w:rPr>
          <w:rFonts w:cs="Times New Roman"/>
          <w:b/>
          <w:u w:val="single"/>
        </w:rPr>
      </w:pPr>
      <w:r w:rsidRPr="00214E3A">
        <w:t xml:space="preserve">3.       IHDA will develop and release a Request for Application (RFA) for property owners/managers who have properties developed before 2011 and would like to accept Section 811 PRA. There was a draft RFA developed during the initial Section 811 application process. That draft needs </w:t>
      </w:r>
      <w:r>
        <w:t xml:space="preserve">updating </w:t>
      </w:r>
      <w:r w:rsidRPr="00214E3A">
        <w:t>in order to capture projects in t</w:t>
      </w:r>
      <w:r>
        <w:t>he Communities of Preference</w:t>
      </w:r>
      <w:r w:rsidRPr="00214E3A">
        <w:t xml:space="preserve"> </w:t>
      </w:r>
      <w:r>
        <w:t>who already own</w:t>
      </w:r>
      <w:r w:rsidRPr="00214E3A">
        <w:t xml:space="preserve"> the proper </w:t>
      </w:r>
      <w:r>
        <w:t xml:space="preserve">accounting </w:t>
      </w:r>
      <w:r w:rsidRPr="00214E3A">
        <w:t xml:space="preserve">software. The goal </w:t>
      </w:r>
      <w:r>
        <w:t>is to</w:t>
      </w:r>
      <w:r w:rsidRPr="00214E3A">
        <w:t xml:space="preserve"> have the RFA to IHDA’s board for approval at their May, 2015 meeting.</w:t>
      </w:r>
      <w:r>
        <w:t xml:space="preserve"> </w:t>
      </w:r>
    </w:p>
    <w:p w:rsidR="00C23472" w:rsidRDefault="00C23472" w:rsidP="00CA6FEF">
      <w:pPr>
        <w:spacing w:after="0"/>
        <w:rPr>
          <w:rFonts w:cs="Times New Roman"/>
        </w:rPr>
      </w:pPr>
      <w:r>
        <w:rPr>
          <w:rFonts w:cs="Times New Roman"/>
        </w:rPr>
        <w:t>IHDA’s initial</w:t>
      </w:r>
      <w:r w:rsidRPr="00473C6B">
        <w:rPr>
          <w:rFonts w:cs="Times New Roman"/>
        </w:rPr>
        <w:t xml:space="preserve"> </w:t>
      </w:r>
      <w:r>
        <w:rPr>
          <w:rFonts w:cs="Times New Roman"/>
        </w:rPr>
        <w:t xml:space="preserve">internal </w:t>
      </w:r>
      <w:r w:rsidRPr="00473C6B">
        <w:rPr>
          <w:rFonts w:cs="Times New Roman"/>
        </w:rPr>
        <w:t>Readiness Assessment</w:t>
      </w:r>
      <w:r>
        <w:rPr>
          <w:rFonts w:cs="Times New Roman"/>
        </w:rPr>
        <w:t xml:space="preserve"> is complete</w:t>
      </w:r>
      <w:r w:rsidRPr="00473C6B">
        <w:rPr>
          <w:rFonts w:cs="Times New Roman"/>
        </w:rPr>
        <w:t>.</w:t>
      </w:r>
      <w:r>
        <w:rPr>
          <w:rFonts w:cs="Times New Roman"/>
        </w:rPr>
        <w:t xml:space="preserve"> IHDA will continue to monitor their internal processes in relation to implementing and managing the Section 811 </w:t>
      </w:r>
      <w:r w:rsidRPr="00473C6B">
        <w:rPr>
          <w:rFonts w:cs="Times New Roman"/>
        </w:rPr>
        <w:t>PRA Demonstration Program.</w:t>
      </w:r>
    </w:p>
    <w:p w:rsidR="00C23472" w:rsidRDefault="00C23472" w:rsidP="00CA6FEF">
      <w:pPr>
        <w:spacing w:after="0"/>
        <w:rPr>
          <w:rFonts w:cs="Times New Roman"/>
        </w:rPr>
      </w:pPr>
    </w:p>
    <w:p w:rsidR="00C23472" w:rsidRDefault="00C23472" w:rsidP="00CA6FEF">
      <w:pPr>
        <w:spacing w:after="0"/>
        <w:rPr>
          <w:rFonts w:cs="Times New Roman"/>
        </w:rPr>
      </w:pPr>
      <w:r>
        <w:rPr>
          <w:rFonts w:cs="Times New Roman"/>
        </w:rPr>
        <w:t xml:space="preserve">IHDA’s Asset Management Department </w:t>
      </w:r>
      <w:r w:rsidRPr="00214E3A">
        <w:rPr>
          <w:rFonts w:cs="Times New Roman"/>
        </w:rPr>
        <w:t>submitted the A</w:t>
      </w:r>
      <w:r>
        <w:rPr>
          <w:rFonts w:cs="Times New Roman"/>
        </w:rPr>
        <w:t xml:space="preserve">ffirmative </w:t>
      </w:r>
      <w:r w:rsidRPr="00214E3A">
        <w:rPr>
          <w:rFonts w:cs="Times New Roman"/>
        </w:rPr>
        <w:t>F</w:t>
      </w:r>
      <w:r>
        <w:rPr>
          <w:rFonts w:cs="Times New Roman"/>
        </w:rPr>
        <w:t xml:space="preserve">air Housing </w:t>
      </w:r>
      <w:r w:rsidRPr="00214E3A">
        <w:rPr>
          <w:rFonts w:cs="Times New Roman"/>
        </w:rPr>
        <w:t>M</w:t>
      </w:r>
      <w:r>
        <w:rPr>
          <w:rFonts w:cs="Times New Roman"/>
        </w:rPr>
        <w:t xml:space="preserve">arketing </w:t>
      </w:r>
      <w:r w:rsidRPr="00214E3A">
        <w:rPr>
          <w:rFonts w:cs="Times New Roman"/>
        </w:rPr>
        <w:t>P</w:t>
      </w:r>
      <w:r>
        <w:rPr>
          <w:rFonts w:cs="Times New Roman"/>
        </w:rPr>
        <w:t>lan (AFHMP)</w:t>
      </w:r>
      <w:r w:rsidRPr="00214E3A">
        <w:rPr>
          <w:rFonts w:cs="Times New Roman"/>
        </w:rPr>
        <w:t xml:space="preserve"> to HUD </w:t>
      </w:r>
      <w:r>
        <w:rPr>
          <w:rFonts w:cs="Times New Roman"/>
        </w:rPr>
        <w:t xml:space="preserve">for the Section 811 PRA Demonstration Program </w:t>
      </w:r>
      <w:r w:rsidRPr="00214E3A">
        <w:rPr>
          <w:rFonts w:cs="Times New Roman"/>
        </w:rPr>
        <w:t xml:space="preserve">and it was approved on January 28, 2015. </w:t>
      </w:r>
    </w:p>
    <w:p w:rsidR="00C23472" w:rsidRDefault="00C23472" w:rsidP="00CA6FEF">
      <w:pPr>
        <w:spacing w:after="0"/>
        <w:rPr>
          <w:rFonts w:cs="Times New Roman"/>
        </w:rPr>
      </w:pPr>
    </w:p>
    <w:p w:rsidR="00C23472" w:rsidRPr="007C210A" w:rsidRDefault="00C23472" w:rsidP="00CA6FEF">
      <w:pPr>
        <w:spacing w:after="0"/>
        <w:rPr>
          <w:rFonts w:cs="Times New Roman"/>
        </w:rPr>
      </w:pPr>
      <w:r>
        <w:rPr>
          <w:rFonts w:cs="Times New Roman"/>
        </w:rPr>
        <w:t xml:space="preserve">On June 1, 2015, the Pre-Screening, Assessment, Intake and Referral (PAIR) online waiting list module will kick-off. Trainings on the use of the PAIR module will be held May 26, 27, 28, and 29, 2015 for anyone working with a Class Member transitioning from an institutional setting. The PAIR module </w:t>
      </w:r>
      <w:r w:rsidRPr="007C210A">
        <w:rPr>
          <w:rFonts w:cs="Times New Roman"/>
        </w:rPr>
        <w:t>allows for the prescreening of individuals for eligibility through an initial questionnaire, collecting more details of those who potentially qualify for continued assessment and intake onto a waiting list, then facilitating the matching and referral of qualified applicants to Section 811 PRA</w:t>
      </w:r>
      <w:r>
        <w:rPr>
          <w:rFonts w:cs="Times New Roman"/>
        </w:rPr>
        <w:t xml:space="preserve">, Statewide Housing Network and Section 811 </w:t>
      </w:r>
      <w:r w:rsidRPr="007C210A">
        <w:rPr>
          <w:rFonts w:cs="Times New Roman"/>
        </w:rPr>
        <w:t>property providers with available units.</w:t>
      </w:r>
      <w:r>
        <w:rPr>
          <w:rFonts w:cs="Times New Roman"/>
        </w:rPr>
        <w:t xml:space="preserve"> </w:t>
      </w:r>
      <w:r w:rsidRPr="007C210A">
        <w:rPr>
          <w:rFonts w:cs="Times New Roman"/>
        </w:rPr>
        <w:t xml:space="preserve">The Statewide Housing Coordinator will be the designated manager of the waitlist and will be able to see all applicants in prioritized order and filter clients for matches with available </w:t>
      </w:r>
      <w:r w:rsidRPr="00373E14">
        <w:rPr>
          <w:rFonts w:cs="Times New Roman"/>
        </w:rPr>
        <w:t>Section 811 PRA, Statewide Housing Network and Section 811 match resources</w:t>
      </w:r>
      <w:r w:rsidRPr="007C210A">
        <w:rPr>
          <w:rFonts w:cs="Times New Roman"/>
        </w:rPr>
        <w:t>. The process of notifying matching clients, confirming eligibility and referring the client to the property provider through eventual placement (the “workflow”) will be tracked in the system and recorded for outcome reporting.</w:t>
      </w:r>
    </w:p>
    <w:p w:rsidR="00C23472" w:rsidRPr="00214E3A" w:rsidRDefault="00C23472" w:rsidP="00CA6FEF">
      <w:pPr>
        <w:spacing w:after="0"/>
        <w:rPr>
          <w:rFonts w:cs="Times New Roman"/>
          <w:b/>
          <w:u w:val="single"/>
        </w:rPr>
      </w:pPr>
    </w:p>
    <w:p w:rsidR="00C23472" w:rsidRDefault="00C23472" w:rsidP="00CA6FEF">
      <w:pPr>
        <w:autoSpaceDE w:val="0"/>
        <w:autoSpaceDN w:val="0"/>
        <w:adjustRightInd w:val="0"/>
        <w:spacing w:after="0"/>
        <w:rPr>
          <w:rFonts w:ascii="Calibri" w:hAnsi="Calibri" w:cs="Calibri"/>
          <w:color w:val="000000"/>
        </w:rPr>
      </w:pPr>
      <w:r>
        <w:rPr>
          <w:rFonts w:ascii="Calibri" w:hAnsi="Calibri" w:cs="Calibri"/>
          <w:color w:val="000000"/>
          <w:u w:val="single"/>
        </w:rPr>
        <w:t xml:space="preserve">FY </w:t>
      </w:r>
      <w:r>
        <w:rPr>
          <w:rFonts w:ascii="Calibri" w:hAnsi="Calibri" w:cs="Calibri"/>
          <w:color w:val="000000"/>
          <w:spacing w:val="-1"/>
          <w:u w:val="single"/>
        </w:rPr>
        <w:t>2</w:t>
      </w:r>
      <w:r>
        <w:rPr>
          <w:rFonts w:ascii="Calibri" w:hAnsi="Calibri" w:cs="Calibri"/>
          <w:color w:val="000000"/>
          <w:spacing w:val="1"/>
          <w:u w:val="single"/>
        </w:rPr>
        <w:t>0</w:t>
      </w:r>
      <w:r>
        <w:rPr>
          <w:rFonts w:ascii="Calibri" w:hAnsi="Calibri" w:cs="Calibri"/>
          <w:color w:val="000000"/>
          <w:spacing w:val="-2"/>
          <w:u w:val="single"/>
        </w:rPr>
        <w:t>1</w:t>
      </w:r>
      <w:r>
        <w:rPr>
          <w:rFonts w:ascii="Calibri" w:hAnsi="Calibri" w:cs="Calibri"/>
          <w:color w:val="000000"/>
          <w:u w:val="single"/>
        </w:rPr>
        <w:t>4</w:t>
      </w:r>
      <w:r>
        <w:rPr>
          <w:rFonts w:ascii="Calibri" w:hAnsi="Calibri" w:cs="Calibri"/>
          <w:color w:val="000000"/>
          <w:spacing w:val="1"/>
          <w:u w:val="single"/>
        </w:rPr>
        <w:t xml:space="preserve"> </w:t>
      </w:r>
      <w:r>
        <w:rPr>
          <w:rFonts w:ascii="Calibri" w:hAnsi="Calibri" w:cs="Calibri"/>
          <w:color w:val="000000"/>
          <w:u w:val="single"/>
        </w:rPr>
        <w:t>Se</w:t>
      </w:r>
      <w:r>
        <w:rPr>
          <w:rFonts w:ascii="Calibri" w:hAnsi="Calibri" w:cs="Calibri"/>
          <w:color w:val="000000"/>
          <w:spacing w:val="-2"/>
          <w:u w:val="single"/>
        </w:rPr>
        <w:t>c</w:t>
      </w:r>
      <w:r>
        <w:rPr>
          <w:rFonts w:ascii="Calibri" w:hAnsi="Calibri" w:cs="Calibri"/>
          <w:color w:val="000000"/>
          <w:u w:val="single"/>
        </w:rPr>
        <w:t>ti</w:t>
      </w:r>
      <w:r>
        <w:rPr>
          <w:rFonts w:ascii="Calibri" w:hAnsi="Calibri" w:cs="Calibri"/>
          <w:color w:val="000000"/>
          <w:spacing w:val="1"/>
          <w:u w:val="single"/>
        </w:rPr>
        <w:t>o</w:t>
      </w:r>
      <w:r>
        <w:rPr>
          <w:rFonts w:ascii="Calibri" w:hAnsi="Calibri" w:cs="Calibri"/>
          <w:color w:val="000000"/>
          <w:u w:val="single"/>
        </w:rPr>
        <w:t>n</w:t>
      </w:r>
      <w:r>
        <w:rPr>
          <w:rFonts w:ascii="Calibri" w:hAnsi="Calibri" w:cs="Calibri"/>
          <w:color w:val="000000"/>
          <w:spacing w:val="-3"/>
          <w:u w:val="single"/>
        </w:rPr>
        <w:t xml:space="preserve"> </w:t>
      </w:r>
      <w:r>
        <w:rPr>
          <w:rFonts w:ascii="Calibri" w:hAnsi="Calibri" w:cs="Calibri"/>
          <w:color w:val="000000"/>
          <w:spacing w:val="1"/>
          <w:u w:val="single"/>
        </w:rPr>
        <w:t>8</w:t>
      </w:r>
      <w:r>
        <w:rPr>
          <w:rFonts w:ascii="Calibri" w:hAnsi="Calibri" w:cs="Calibri"/>
          <w:color w:val="000000"/>
          <w:spacing w:val="-2"/>
          <w:u w:val="single"/>
        </w:rPr>
        <w:t>1</w:t>
      </w:r>
      <w:r>
        <w:rPr>
          <w:rFonts w:ascii="Calibri" w:hAnsi="Calibri" w:cs="Calibri"/>
          <w:color w:val="000000"/>
          <w:u w:val="single"/>
        </w:rPr>
        <w:t>1</w:t>
      </w:r>
      <w:r>
        <w:rPr>
          <w:rFonts w:ascii="Calibri" w:hAnsi="Calibri" w:cs="Calibri"/>
          <w:color w:val="000000"/>
          <w:spacing w:val="1"/>
          <w:u w:val="single"/>
        </w:rPr>
        <w:t xml:space="preserve"> </w:t>
      </w:r>
      <w:r>
        <w:rPr>
          <w:rFonts w:ascii="Calibri" w:hAnsi="Calibri" w:cs="Calibri"/>
          <w:color w:val="000000"/>
          <w:u w:val="single"/>
        </w:rPr>
        <w:t>ap</w:t>
      </w:r>
      <w:r>
        <w:rPr>
          <w:rFonts w:ascii="Calibri" w:hAnsi="Calibri" w:cs="Calibri"/>
          <w:color w:val="000000"/>
          <w:spacing w:val="-1"/>
          <w:u w:val="single"/>
        </w:rPr>
        <w:t>p</w:t>
      </w:r>
      <w:r>
        <w:rPr>
          <w:rFonts w:ascii="Calibri" w:hAnsi="Calibri" w:cs="Calibri"/>
          <w:color w:val="000000"/>
          <w:u w:val="single"/>
        </w:rPr>
        <w:t>l</w:t>
      </w:r>
      <w:r>
        <w:rPr>
          <w:rFonts w:ascii="Calibri" w:hAnsi="Calibri" w:cs="Calibri"/>
          <w:color w:val="000000"/>
          <w:spacing w:val="-1"/>
          <w:u w:val="single"/>
        </w:rPr>
        <w:t>i</w:t>
      </w:r>
      <w:r>
        <w:rPr>
          <w:rFonts w:ascii="Calibri" w:hAnsi="Calibri" w:cs="Calibri"/>
          <w:color w:val="000000"/>
          <w:spacing w:val="-2"/>
          <w:u w:val="single"/>
        </w:rPr>
        <w:t>c</w:t>
      </w:r>
      <w:r>
        <w:rPr>
          <w:rFonts w:ascii="Calibri" w:hAnsi="Calibri" w:cs="Calibri"/>
          <w:color w:val="000000"/>
          <w:u w:val="single"/>
        </w:rPr>
        <w:t>ati</w:t>
      </w:r>
      <w:r>
        <w:rPr>
          <w:rFonts w:ascii="Calibri" w:hAnsi="Calibri" w:cs="Calibri"/>
          <w:color w:val="000000"/>
          <w:spacing w:val="1"/>
          <w:u w:val="single"/>
        </w:rPr>
        <w:t>o</w:t>
      </w:r>
      <w:r>
        <w:rPr>
          <w:rFonts w:ascii="Calibri" w:hAnsi="Calibri" w:cs="Calibri"/>
          <w:color w:val="000000"/>
          <w:spacing w:val="-1"/>
          <w:u w:val="single"/>
        </w:rPr>
        <w:t>n</w:t>
      </w:r>
      <w:r>
        <w:rPr>
          <w:rFonts w:ascii="Calibri" w:hAnsi="Calibri" w:cs="Calibri"/>
          <w:color w:val="000000"/>
          <w:u w:val="single"/>
        </w:rPr>
        <w:t>:</w:t>
      </w:r>
    </w:p>
    <w:p w:rsidR="00C23472" w:rsidRDefault="00C23472" w:rsidP="00CA6FEF">
      <w:pPr>
        <w:autoSpaceDE w:val="0"/>
        <w:autoSpaceDN w:val="0"/>
        <w:adjustRightInd w:val="0"/>
        <w:spacing w:before="16" w:after="0"/>
        <w:rPr>
          <w:rFonts w:ascii="Calibri" w:hAnsi="Calibri" w:cs="Calibri"/>
          <w:color w:val="000000"/>
        </w:rPr>
      </w:pPr>
      <w:r>
        <w:rPr>
          <w:rFonts w:ascii="Calibri" w:hAnsi="Calibri" w:cs="Calibri"/>
          <w:color w:val="000000"/>
        </w:rPr>
        <w:t>A second</w:t>
      </w:r>
      <w:r>
        <w:rPr>
          <w:rFonts w:ascii="Calibri" w:hAnsi="Calibri" w:cs="Calibri"/>
          <w:color w:val="000000"/>
          <w:spacing w:val="-1"/>
        </w:rPr>
        <w:t xml:space="preserve"> </w:t>
      </w:r>
      <w:r>
        <w:rPr>
          <w:rFonts w:ascii="Calibri" w:hAnsi="Calibri" w:cs="Calibri"/>
          <w:color w:val="000000"/>
        </w:rPr>
        <w:t>Sec</w:t>
      </w:r>
      <w:r>
        <w:rPr>
          <w:rFonts w:ascii="Calibri" w:hAnsi="Calibri" w:cs="Calibri"/>
          <w:color w:val="000000"/>
          <w:spacing w:val="1"/>
        </w:rPr>
        <w:t>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spacing w:val="1"/>
        </w:rPr>
        <w:t>8</w:t>
      </w:r>
      <w:r>
        <w:rPr>
          <w:rFonts w:ascii="Calibri" w:hAnsi="Calibri" w:cs="Calibri"/>
          <w:color w:val="000000"/>
          <w:spacing w:val="-2"/>
        </w:rPr>
        <w:t>1</w:t>
      </w:r>
      <w:r>
        <w:rPr>
          <w:rFonts w:ascii="Calibri" w:hAnsi="Calibri" w:cs="Calibri"/>
          <w:color w:val="000000"/>
        </w:rPr>
        <w:t>1</w:t>
      </w:r>
      <w:r>
        <w:rPr>
          <w:rFonts w:ascii="Calibri" w:hAnsi="Calibri" w:cs="Calibri"/>
          <w:color w:val="000000"/>
          <w:spacing w:val="1"/>
        </w:rPr>
        <w:t xml:space="preserve"> </w:t>
      </w:r>
      <w:r>
        <w:rPr>
          <w:rFonts w:ascii="Calibri" w:hAnsi="Calibri" w:cs="Calibri"/>
          <w:color w:val="000000"/>
        </w:rPr>
        <w:t>ap</w:t>
      </w:r>
      <w:r>
        <w:rPr>
          <w:rFonts w:ascii="Calibri" w:hAnsi="Calibri" w:cs="Calibri"/>
          <w:color w:val="000000"/>
          <w:spacing w:val="-1"/>
        </w:rPr>
        <w:t>p</w:t>
      </w:r>
      <w:r>
        <w:rPr>
          <w:rFonts w:ascii="Calibri" w:hAnsi="Calibri" w:cs="Calibri"/>
          <w:color w:val="000000"/>
        </w:rPr>
        <w:t>lic</w:t>
      </w:r>
      <w:r>
        <w:rPr>
          <w:rFonts w:ascii="Calibri" w:hAnsi="Calibri" w:cs="Calibri"/>
          <w:color w:val="000000"/>
          <w:spacing w:val="-2"/>
        </w:rPr>
        <w:t>a</w:t>
      </w:r>
      <w:r>
        <w:rPr>
          <w:rFonts w:ascii="Calibri" w:hAnsi="Calibri" w:cs="Calibri"/>
          <w:color w:val="000000"/>
        </w:rPr>
        <w:t>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 xml:space="preserve"> w</w:t>
      </w:r>
      <w:r>
        <w:rPr>
          <w:rFonts w:ascii="Calibri" w:hAnsi="Calibri" w:cs="Calibri"/>
          <w:color w:val="000000"/>
        </w:rPr>
        <w:t>ent in</w:t>
      </w:r>
      <w:r>
        <w:rPr>
          <w:rFonts w:ascii="Calibri" w:hAnsi="Calibri" w:cs="Calibri"/>
          <w:color w:val="000000"/>
          <w:spacing w:val="-2"/>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HUD</w:t>
      </w:r>
      <w:r>
        <w:rPr>
          <w:rFonts w:ascii="Calibri" w:hAnsi="Calibri" w:cs="Calibri"/>
          <w:color w:val="000000"/>
          <w:spacing w:val="-2"/>
        </w:rPr>
        <w:t xml:space="preserve"> </w:t>
      </w:r>
      <w:r>
        <w:rPr>
          <w:rFonts w:ascii="Calibri" w:hAnsi="Calibri" w:cs="Calibri"/>
          <w:color w:val="000000"/>
        </w:rPr>
        <w:t>in M</w:t>
      </w:r>
      <w:r>
        <w:rPr>
          <w:rFonts w:ascii="Calibri" w:hAnsi="Calibri" w:cs="Calibri"/>
          <w:color w:val="000000"/>
          <w:spacing w:val="-3"/>
        </w:rPr>
        <w:t>a</w:t>
      </w:r>
      <w:r>
        <w:rPr>
          <w:rFonts w:ascii="Calibri" w:hAnsi="Calibri" w:cs="Calibri"/>
          <w:color w:val="000000"/>
        </w:rPr>
        <w:t>y of 2014 r</w:t>
      </w:r>
      <w:r>
        <w:rPr>
          <w:rFonts w:ascii="Calibri" w:hAnsi="Calibri" w:cs="Calibri"/>
          <w:color w:val="000000"/>
          <w:spacing w:val="1"/>
        </w:rPr>
        <w:t>e</w:t>
      </w:r>
      <w:r>
        <w:rPr>
          <w:rFonts w:ascii="Calibri" w:hAnsi="Calibri" w:cs="Calibri"/>
          <w:color w:val="000000"/>
          <w:spacing w:val="-1"/>
        </w:rPr>
        <w:t>qu</w:t>
      </w:r>
      <w:r>
        <w:rPr>
          <w:rFonts w:ascii="Calibri" w:hAnsi="Calibri" w:cs="Calibri"/>
          <w:color w:val="000000"/>
        </w:rPr>
        <w:t>es</w:t>
      </w:r>
      <w:r>
        <w:rPr>
          <w:rFonts w:ascii="Calibri" w:hAnsi="Calibri" w:cs="Calibri"/>
          <w:color w:val="000000"/>
          <w:spacing w:val="1"/>
        </w:rPr>
        <w:t>t</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3"/>
        </w:rPr>
        <w:t xml:space="preserve"> </w:t>
      </w:r>
      <w:r>
        <w:rPr>
          <w:rFonts w:ascii="Calibri" w:hAnsi="Calibri" w:cs="Calibri"/>
          <w:color w:val="000000"/>
          <w:spacing w:val="1"/>
        </w:rPr>
        <w:t>$6</w:t>
      </w:r>
      <w:r>
        <w:rPr>
          <w:rFonts w:ascii="Calibri" w:hAnsi="Calibri" w:cs="Calibri"/>
          <w:color w:val="000000"/>
          <w:spacing w:val="-3"/>
        </w:rPr>
        <w:t>.</w:t>
      </w:r>
      <w:r>
        <w:rPr>
          <w:rFonts w:ascii="Calibri" w:hAnsi="Calibri" w:cs="Calibri"/>
          <w:color w:val="000000"/>
        </w:rPr>
        <w:t>4</w:t>
      </w:r>
      <w:r>
        <w:rPr>
          <w:rFonts w:ascii="Calibri" w:hAnsi="Calibri" w:cs="Calibri"/>
          <w:color w:val="000000"/>
          <w:spacing w:val="-1"/>
        </w:rPr>
        <w:t xml:space="preserve"> </w:t>
      </w:r>
      <w:r>
        <w:rPr>
          <w:rFonts w:ascii="Calibri" w:hAnsi="Calibri" w:cs="Calibri"/>
          <w:color w:val="000000"/>
          <w:spacing w:val="1"/>
        </w:rPr>
        <w:t>m</w:t>
      </w:r>
      <w:r>
        <w:rPr>
          <w:rFonts w:ascii="Calibri" w:hAnsi="Calibri" w:cs="Calibri"/>
          <w:color w:val="000000"/>
        </w:rPr>
        <w:t>illi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2"/>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tal</w:t>
      </w:r>
      <w:r>
        <w:rPr>
          <w:rFonts w:ascii="Calibri" w:hAnsi="Calibri" w:cs="Calibri"/>
          <w:color w:val="000000"/>
          <w:spacing w:val="5"/>
        </w:rPr>
        <w:t xml:space="preserve"> </w:t>
      </w:r>
      <w:r>
        <w:rPr>
          <w:rFonts w:ascii="Calibri" w:hAnsi="Calibri" w:cs="Calibri"/>
          <w:color w:val="000000"/>
        </w:rPr>
        <w:t>su</w:t>
      </w:r>
      <w:r>
        <w:rPr>
          <w:rFonts w:ascii="Calibri" w:hAnsi="Calibri" w:cs="Calibri"/>
          <w:color w:val="000000"/>
          <w:spacing w:val="-2"/>
        </w:rPr>
        <w:t>b</w:t>
      </w:r>
      <w:r>
        <w:rPr>
          <w:rFonts w:ascii="Calibri" w:hAnsi="Calibri" w:cs="Calibri"/>
          <w:color w:val="000000"/>
        </w:rPr>
        <w:t>si</w:t>
      </w:r>
      <w:r>
        <w:rPr>
          <w:rFonts w:ascii="Calibri" w:hAnsi="Calibri" w:cs="Calibri"/>
          <w:color w:val="000000"/>
          <w:spacing w:val="-1"/>
        </w:rPr>
        <w:t>d</w:t>
      </w:r>
      <w:r>
        <w:rPr>
          <w:rFonts w:ascii="Calibri" w:hAnsi="Calibri" w:cs="Calibri"/>
          <w:color w:val="000000"/>
        </w:rPr>
        <w:t>ies</w:t>
      </w:r>
      <w:r>
        <w:rPr>
          <w:rFonts w:ascii="Calibri" w:hAnsi="Calibri" w:cs="Calibri"/>
          <w:color w:val="000000"/>
          <w:spacing w:val="-2"/>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 xml:space="preserve">r </w:t>
      </w:r>
      <w:r>
        <w:rPr>
          <w:rFonts w:ascii="Calibri" w:hAnsi="Calibri" w:cs="Calibri"/>
          <w:color w:val="000000"/>
          <w:spacing w:val="1"/>
        </w:rPr>
        <w:t>2</w:t>
      </w:r>
      <w:r>
        <w:rPr>
          <w:rFonts w:ascii="Calibri" w:hAnsi="Calibri" w:cs="Calibri"/>
          <w:color w:val="000000"/>
          <w:spacing w:val="-2"/>
        </w:rPr>
        <w:t>0</w:t>
      </w:r>
      <w:r>
        <w:rPr>
          <w:rFonts w:ascii="Calibri" w:hAnsi="Calibri" w:cs="Calibri"/>
          <w:color w:val="000000"/>
        </w:rPr>
        <w:t>0</w:t>
      </w:r>
      <w:r>
        <w:rPr>
          <w:rFonts w:ascii="Calibri" w:hAnsi="Calibri" w:cs="Calibri"/>
          <w:color w:val="000000"/>
          <w:spacing w:val="1"/>
        </w:rPr>
        <w:t xml:space="preserve"> </w:t>
      </w:r>
      <w:r>
        <w:rPr>
          <w:rFonts w:ascii="Calibri" w:hAnsi="Calibri" w:cs="Calibri"/>
          <w:color w:val="000000"/>
        </w:rPr>
        <w:t>u</w:t>
      </w:r>
      <w:r>
        <w:rPr>
          <w:rFonts w:ascii="Calibri" w:hAnsi="Calibri" w:cs="Calibri"/>
          <w:color w:val="000000"/>
          <w:spacing w:val="-1"/>
        </w:rPr>
        <w:t>n</w:t>
      </w:r>
      <w:r>
        <w:rPr>
          <w:rFonts w:ascii="Calibri" w:hAnsi="Calibri" w:cs="Calibri"/>
          <w:color w:val="000000"/>
        </w:rPr>
        <w:t xml:space="preserve">its. </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4"/>
        </w:rPr>
        <w:t>H</w:t>
      </w:r>
      <w:r>
        <w:rPr>
          <w:rFonts w:ascii="Calibri" w:hAnsi="Calibri" w:cs="Calibri"/>
          <w:color w:val="000000"/>
          <w:spacing w:val="1"/>
        </w:rPr>
        <w:t>D</w:t>
      </w:r>
      <w:r>
        <w:rPr>
          <w:rFonts w:ascii="Calibri" w:hAnsi="Calibri" w:cs="Calibri"/>
          <w:color w:val="000000"/>
        </w:rPr>
        <w:t xml:space="preserve">A </w:t>
      </w:r>
      <w:r>
        <w:rPr>
          <w:rFonts w:ascii="Calibri" w:hAnsi="Calibri" w:cs="Calibri"/>
          <w:color w:val="000000"/>
          <w:spacing w:val="-2"/>
        </w:rPr>
        <w:t>with its’ partners, the Department of Human Services (DHS), Department on Aging (Aging) and the Department of Healthcare and Family Services (HFS) received notice in March of 2015 that they were awarded their second Section 811 PRA grant</w:t>
      </w:r>
      <w:r>
        <w:rPr>
          <w:rFonts w:ascii="Calibri" w:hAnsi="Calibri" w:cs="Calibri"/>
          <w:color w:val="000000"/>
        </w:rPr>
        <w:t>. In total, more than $18M dollars of Section 811 PRA creating more than 900 affordable housing units will come to Illinois for Olmstead related populations.</w:t>
      </w:r>
    </w:p>
    <w:p w:rsidR="00C23472" w:rsidRDefault="00C23472" w:rsidP="00CA6FEF">
      <w:pPr>
        <w:autoSpaceDE w:val="0"/>
        <w:autoSpaceDN w:val="0"/>
        <w:adjustRightInd w:val="0"/>
        <w:spacing w:before="10" w:after="0"/>
        <w:rPr>
          <w:rFonts w:ascii="Calibri" w:hAnsi="Calibri" w:cs="Calibri"/>
          <w:color w:val="000000"/>
          <w:sz w:val="16"/>
          <w:szCs w:val="16"/>
        </w:rPr>
      </w:pPr>
    </w:p>
    <w:p w:rsidR="00C23472" w:rsidRDefault="00C23472" w:rsidP="00CA6FEF">
      <w:pPr>
        <w:autoSpaceDE w:val="0"/>
        <w:autoSpaceDN w:val="0"/>
        <w:adjustRightInd w:val="0"/>
        <w:spacing w:after="0"/>
        <w:rPr>
          <w:rFonts w:ascii="Cambria" w:hAnsi="Cambria" w:cs="Cambria"/>
          <w:color w:val="000000"/>
          <w:sz w:val="20"/>
          <w:szCs w:val="20"/>
        </w:rPr>
      </w:pPr>
    </w:p>
    <w:p w:rsidR="00C23472" w:rsidRDefault="00C23472" w:rsidP="00CA6FEF">
      <w:pPr>
        <w:autoSpaceDE w:val="0"/>
        <w:autoSpaceDN w:val="0"/>
        <w:adjustRightInd w:val="0"/>
        <w:spacing w:before="16" w:after="0"/>
        <w:rPr>
          <w:rFonts w:ascii="Calibri" w:hAnsi="Calibri" w:cs="Calibri"/>
          <w:color w:val="000000"/>
        </w:rPr>
      </w:pPr>
      <w:r>
        <w:rPr>
          <w:rFonts w:ascii="Calibri" w:hAnsi="Calibri" w:cs="Calibri"/>
          <w:b/>
          <w:bCs/>
          <w:i/>
          <w:iCs/>
          <w:color w:val="000000"/>
          <w:u w:val="single"/>
        </w:rPr>
        <w:t>P</w:t>
      </w:r>
      <w:r>
        <w:rPr>
          <w:rFonts w:ascii="Calibri" w:hAnsi="Calibri" w:cs="Calibri"/>
          <w:b/>
          <w:bCs/>
          <w:i/>
          <w:iCs/>
          <w:color w:val="000000"/>
          <w:spacing w:val="1"/>
          <w:u w:val="single"/>
        </w:rPr>
        <w:t>u</w:t>
      </w:r>
      <w:r>
        <w:rPr>
          <w:rFonts w:ascii="Calibri" w:hAnsi="Calibri" w:cs="Calibri"/>
          <w:b/>
          <w:bCs/>
          <w:i/>
          <w:iCs/>
          <w:color w:val="000000"/>
          <w:spacing w:val="-1"/>
          <w:u w:val="single"/>
        </w:rPr>
        <w:t>b</w:t>
      </w:r>
      <w:r>
        <w:rPr>
          <w:rFonts w:ascii="Calibri" w:hAnsi="Calibri" w:cs="Calibri"/>
          <w:b/>
          <w:bCs/>
          <w:i/>
          <w:iCs/>
          <w:color w:val="000000"/>
          <w:spacing w:val="1"/>
          <w:u w:val="single"/>
        </w:rPr>
        <w:t>l</w:t>
      </w:r>
      <w:r>
        <w:rPr>
          <w:rFonts w:ascii="Calibri" w:hAnsi="Calibri" w:cs="Calibri"/>
          <w:b/>
          <w:bCs/>
          <w:i/>
          <w:iCs/>
          <w:color w:val="000000"/>
          <w:spacing w:val="-2"/>
          <w:u w:val="single"/>
        </w:rPr>
        <w:t>i</w:t>
      </w:r>
      <w:r>
        <w:rPr>
          <w:rFonts w:ascii="Calibri" w:hAnsi="Calibri" w:cs="Calibri"/>
          <w:b/>
          <w:bCs/>
          <w:i/>
          <w:iCs/>
          <w:color w:val="000000"/>
          <w:u w:val="single"/>
        </w:rPr>
        <w:t>c</w:t>
      </w:r>
      <w:r>
        <w:rPr>
          <w:rFonts w:ascii="Calibri" w:hAnsi="Calibri" w:cs="Calibri"/>
          <w:b/>
          <w:bCs/>
          <w:i/>
          <w:iCs/>
          <w:color w:val="000000"/>
          <w:spacing w:val="1"/>
          <w:u w:val="single"/>
        </w:rPr>
        <w:t xml:space="preserve"> </w:t>
      </w:r>
      <w:r>
        <w:rPr>
          <w:rFonts w:ascii="Calibri" w:hAnsi="Calibri" w:cs="Calibri"/>
          <w:b/>
          <w:bCs/>
          <w:i/>
          <w:iCs/>
          <w:color w:val="000000"/>
          <w:spacing w:val="-2"/>
          <w:u w:val="single"/>
        </w:rPr>
        <w:t>H</w:t>
      </w:r>
      <w:r>
        <w:rPr>
          <w:rFonts w:ascii="Calibri" w:hAnsi="Calibri" w:cs="Calibri"/>
          <w:b/>
          <w:bCs/>
          <w:i/>
          <w:iCs/>
          <w:color w:val="000000"/>
          <w:spacing w:val="1"/>
          <w:u w:val="single"/>
        </w:rPr>
        <w:t>ou</w:t>
      </w:r>
      <w:r>
        <w:rPr>
          <w:rFonts w:ascii="Calibri" w:hAnsi="Calibri" w:cs="Calibri"/>
          <w:b/>
          <w:bCs/>
          <w:i/>
          <w:iCs/>
          <w:color w:val="000000"/>
          <w:spacing w:val="-3"/>
          <w:u w:val="single"/>
        </w:rPr>
        <w:t>s</w:t>
      </w:r>
      <w:r>
        <w:rPr>
          <w:rFonts w:ascii="Calibri" w:hAnsi="Calibri" w:cs="Calibri"/>
          <w:b/>
          <w:bCs/>
          <w:i/>
          <w:iCs/>
          <w:color w:val="000000"/>
          <w:spacing w:val="1"/>
          <w:u w:val="single"/>
        </w:rPr>
        <w:t>i</w:t>
      </w:r>
      <w:r>
        <w:rPr>
          <w:rFonts w:ascii="Calibri" w:hAnsi="Calibri" w:cs="Calibri"/>
          <w:b/>
          <w:bCs/>
          <w:i/>
          <w:iCs/>
          <w:color w:val="000000"/>
          <w:spacing w:val="-1"/>
          <w:u w:val="single"/>
        </w:rPr>
        <w:t>n</w:t>
      </w:r>
      <w:r>
        <w:rPr>
          <w:rFonts w:ascii="Calibri" w:hAnsi="Calibri" w:cs="Calibri"/>
          <w:b/>
          <w:bCs/>
          <w:i/>
          <w:iCs/>
          <w:color w:val="000000"/>
          <w:u w:val="single"/>
        </w:rPr>
        <w:t>g</w:t>
      </w:r>
      <w:r>
        <w:rPr>
          <w:rFonts w:ascii="Calibri" w:hAnsi="Calibri" w:cs="Calibri"/>
          <w:b/>
          <w:bCs/>
          <w:i/>
          <w:iCs/>
          <w:color w:val="000000"/>
          <w:spacing w:val="-1"/>
          <w:u w:val="single"/>
        </w:rPr>
        <w:t xml:space="preserve"> </w:t>
      </w:r>
      <w:r>
        <w:rPr>
          <w:rFonts w:ascii="Calibri" w:hAnsi="Calibri" w:cs="Calibri"/>
          <w:b/>
          <w:bCs/>
          <w:i/>
          <w:iCs/>
          <w:color w:val="000000"/>
          <w:u w:val="single"/>
        </w:rPr>
        <w:t>Aut</w:t>
      </w:r>
      <w:r>
        <w:rPr>
          <w:rFonts w:ascii="Calibri" w:hAnsi="Calibri" w:cs="Calibri"/>
          <w:b/>
          <w:bCs/>
          <w:i/>
          <w:iCs/>
          <w:color w:val="000000"/>
          <w:spacing w:val="-2"/>
          <w:u w:val="single"/>
        </w:rPr>
        <w:t>h</w:t>
      </w:r>
      <w:r>
        <w:rPr>
          <w:rFonts w:ascii="Calibri" w:hAnsi="Calibri" w:cs="Calibri"/>
          <w:b/>
          <w:bCs/>
          <w:i/>
          <w:iCs/>
          <w:color w:val="000000"/>
          <w:spacing w:val="1"/>
          <w:u w:val="single"/>
        </w:rPr>
        <w:t>o</w:t>
      </w:r>
      <w:r>
        <w:rPr>
          <w:rFonts w:ascii="Calibri" w:hAnsi="Calibri" w:cs="Calibri"/>
          <w:b/>
          <w:bCs/>
          <w:i/>
          <w:iCs/>
          <w:color w:val="000000"/>
          <w:spacing w:val="-1"/>
          <w:u w:val="single"/>
        </w:rPr>
        <w:t>r</w:t>
      </w:r>
      <w:r>
        <w:rPr>
          <w:rFonts w:ascii="Calibri" w:hAnsi="Calibri" w:cs="Calibri"/>
          <w:b/>
          <w:bCs/>
          <w:i/>
          <w:iCs/>
          <w:color w:val="000000"/>
          <w:spacing w:val="1"/>
          <w:u w:val="single"/>
        </w:rPr>
        <w:t>i</w:t>
      </w:r>
      <w:r>
        <w:rPr>
          <w:rFonts w:ascii="Calibri" w:hAnsi="Calibri" w:cs="Calibri"/>
          <w:b/>
          <w:bCs/>
          <w:i/>
          <w:iCs/>
          <w:color w:val="000000"/>
          <w:spacing w:val="-2"/>
          <w:u w:val="single"/>
        </w:rPr>
        <w:t>t</w:t>
      </w:r>
      <w:r>
        <w:rPr>
          <w:rFonts w:ascii="Calibri" w:hAnsi="Calibri" w:cs="Calibri"/>
          <w:b/>
          <w:bCs/>
          <w:i/>
          <w:iCs/>
          <w:color w:val="000000"/>
          <w:spacing w:val="1"/>
          <w:u w:val="single"/>
        </w:rPr>
        <w:t>i</w:t>
      </w:r>
      <w:r>
        <w:rPr>
          <w:rFonts w:ascii="Calibri" w:hAnsi="Calibri" w:cs="Calibri"/>
          <w:b/>
          <w:bCs/>
          <w:i/>
          <w:iCs/>
          <w:color w:val="000000"/>
          <w:u w:val="single"/>
        </w:rPr>
        <w:t>es</w:t>
      </w:r>
    </w:p>
    <w:p w:rsidR="00C23472" w:rsidRDefault="00C23472" w:rsidP="00CA6FEF">
      <w:pPr>
        <w:autoSpaceDE w:val="0"/>
        <w:autoSpaceDN w:val="0"/>
        <w:adjustRightInd w:val="0"/>
        <w:spacing w:after="0"/>
        <w:rPr>
          <w:rFonts w:ascii="Calibri" w:hAnsi="Calibri" w:cs="Calibri"/>
          <w:color w:val="000000"/>
          <w:sz w:val="20"/>
          <w:szCs w:val="20"/>
        </w:rPr>
      </w:pPr>
    </w:p>
    <w:p w:rsidR="00C23472" w:rsidRDefault="00C23472" w:rsidP="00CA6FEF">
      <w:pPr>
        <w:spacing w:after="0"/>
        <w:rPr>
          <w:noProof/>
          <w:u w:val="single"/>
        </w:rPr>
      </w:pPr>
      <w:r w:rsidRPr="00373E14">
        <w:rPr>
          <w:noProof/>
          <w:u w:val="single"/>
        </w:rPr>
        <w:t xml:space="preserve">Chicago Housing Authority </w:t>
      </w:r>
    </w:p>
    <w:p w:rsidR="00C23472" w:rsidRPr="00373E14" w:rsidRDefault="00C23472" w:rsidP="00CA6FEF">
      <w:pPr>
        <w:spacing w:after="0"/>
        <w:rPr>
          <w:noProof/>
        </w:rPr>
      </w:pPr>
      <w:r>
        <w:rPr>
          <w:noProof/>
        </w:rPr>
        <w:t xml:space="preserve">The </w:t>
      </w:r>
      <w:r w:rsidRPr="00373E14">
        <w:rPr>
          <w:noProof/>
        </w:rPr>
        <w:t xml:space="preserve">Chicago Housing Authority (CHA) committed </w:t>
      </w:r>
      <w:r>
        <w:rPr>
          <w:noProof/>
        </w:rPr>
        <w:t xml:space="preserve">Section 811 PRA match resources </w:t>
      </w:r>
      <w:r w:rsidRPr="00373E14">
        <w:rPr>
          <w:noProof/>
        </w:rPr>
        <w:t xml:space="preserve">to to Colbert and Williams </w:t>
      </w:r>
      <w:r w:rsidR="00944086">
        <w:rPr>
          <w:noProof/>
        </w:rPr>
        <w:t>Class Members</w:t>
      </w:r>
      <w:r w:rsidRPr="00373E14">
        <w:rPr>
          <w:noProof/>
        </w:rPr>
        <w:t xml:space="preserve"> </w:t>
      </w:r>
      <w:r>
        <w:rPr>
          <w:noProof/>
        </w:rPr>
        <w:t xml:space="preserve">, </w:t>
      </w:r>
      <w:r w:rsidRPr="00373E14">
        <w:rPr>
          <w:noProof/>
        </w:rPr>
        <w:t>400 units in 2012 and</w:t>
      </w:r>
      <w:r>
        <w:rPr>
          <w:noProof/>
        </w:rPr>
        <w:t xml:space="preserve"> an additional 200 units in 2014:</w:t>
      </w:r>
      <w:r w:rsidRPr="00373E14">
        <w:rPr>
          <w:noProof/>
        </w:rPr>
        <w:t xml:space="preserve"> consi</w:t>
      </w:r>
      <w:r>
        <w:rPr>
          <w:noProof/>
        </w:rPr>
        <w:t>s</w:t>
      </w:r>
      <w:r w:rsidRPr="00373E14">
        <w:rPr>
          <w:noProof/>
        </w:rPr>
        <w:t xml:space="preserve">ting of 400 </w:t>
      </w:r>
      <w:r w:rsidRPr="00373E14">
        <w:lastRenderedPageBreak/>
        <w:t>Housing Choice Vouchers (</w:t>
      </w:r>
      <w:r w:rsidRPr="00373E14">
        <w:rPr>
          <w:noProof/>
        </w:rPr>
        <w:t xml:space="preserve">HCV), 140-200 </w:t>
      </w:r>
      <w:r>
        <w:t>Project</w:t>
      </w:r>
      <w:r w:rsidRPr="00373E14">
        <w:t xml:space="preserve"> Based Voucher</w:t>
      </w:r>
      <w:r>
        <w:t>s</w:t>
      </w:r>
      <w:r w:rsidRPr="00373E14">
        <w:t xml:space="preserve"> (</w:t>
      </w:r>
      <w:r w:rsidRPr="00373E14">
        <w:rPr>
          <w:noProof/>
        </w:rPr>
        <w:t>PBV) and up to 60 accessible public housing units. To ensure we maximize this commitment, the State provider agencies enrolled over 2</w:t>
      </w:r>
      <w:r>
        <w:rPr>
          <w:noProof/>
        </w:rPr>
        <w:t>,</w:t>
      </w:r>
      <w:r w:rsidRPr="00373E14">
        <w:rPr>
          <w:noProof/>
        </w:rPr>
        <w:t xml:space="preserve">000 transitioned and to-be-transitioned </w:t>
      </w:r>
      <w:r w:rsidR="00944086">
        <w:rPr>
          <w:noProof/>
        </w:rPr>
        <w:t>Class Members</w:t>
      </w:r>
      <w:r w:rsidRPr="00373E14">
        <w:rPr>
          <w:noProof/>
        </w:rPr>
        <w:t xml:space="preserve"> on the recently opened CHA waitlist registry. CHA allowed those registered </w:t>
      </w:r>
      <w:r w:rsidR="00944086">
        <w:rPr>
          <w:noProof/>
        </w:rPr>
        <w:t>Class Members</w:t>
      </w:r>
      <w:r w:rsidRPr="00373E14">
        <w:rPr>
          <w:noProof/>
        </w:rPr>
        <w:t xml:space="preserve"> to skip the lottery process and move directly to the waitlist. Additionally, the State provided CHA with a list of </w:t>
      </w:r>
      <w:r>
        <w:rPr>
          <w:noProof/>
        </w:rPr>
        <w:t>4</w:t>
      </w:r>
      <w:r w:rsidRPr="00373E14">
        <w:rPr>
          <w:noProof/>
        </w:rPr>
        <w:t xml:space="preserve">00 </w:t>
      </w:r>
      <w:r w:rsidR="00944086">
        <w:rPr>
          <w:noProof/>
        </w:rPr>
        <w:t>Class Members</w:t>
      </w:r>
      <w:r w:rsidRPr="00373E14">
        <w:rPr>
          <w:noProof/>
        </w:rPr>
        <w:t xml:space="preserve"> already transitioned to be preferenced for HCV.</w:t>
      </w:r>
    </w:p>
    <w:p w:rsidR="00C23472" w:rsidRPr="00373E14" w:rsidRDefault="00C23472" w:rsidP="00CA6FEF">
      <w:pPr>
        <w:spacing w:after="0"/>
        <w:rPr>
          <w:noProof/>
        </w:rPr>
      </w:pPr>
    </w:p>
    <w:p w:rsidR="00C23472" w:rsidRPr="00A84C73" w:rsidRDefault="00C23472" w:rsidP="00CA6FEF">
      <w:pPr>
        <w:spacing w:after="0"/>
        <w:rPr>
          <w:noProof/>
        </w:rPr>
      </w:pPr>
      <w:r>
        <w:rPr>
          <w:noProof/>
        </w:rPr>
        <w:t xml:space="preserve">April 27-28 and May 4-5, the Chicago Housing Authority held interviews with these Williams and Colbert </w:t>
      </w:r>
      <w:r w:rsidR="00944086">
        <w:rPr>
          <w:noProof/>
        </w:rPr>
        <w:t>Class Members</w:t>
      </w:r>
      <w:r>
        <w:rPr>
          <w:noProof/>
        </w:rPr>
        <w:t xml:space="preserve"> in order to complete the application process for CHA Housing Choice Vouchers with them. Interviews were held at the Trilogy and HRDI Drop-In Center sites. </w:t>
      </w:r>
      <w:r w:rsidR="00944086">
        <w:rPr>
          <w:noProof/>
        </w:rPr>
        <w:t>Class Members</w:t>
      </w:r>
      <w:r>
        <w:rPr>
          <w:noProof/>
        </w:rPr>
        <w:t xml:space="preserve"> were apprised of the information needed and date/time of their appointments via mail. </w:t>
      </w:r>
      <w:r w:rsidRPr="00A84C73">
        <w:rPr>
          <w:noProof/>
        </w:rPr>
        <w:t>The DMH/Williams agencies and Aging/Col</w:t>
      </w:r>
      <w:r>
        <w:rPr>
          <w:noProof/>
        </w:rPr>
        <w:t xml:space="preserve">bert MCO contacts </w:t>
      </w:r>
      <w:r w:rsidRPr="00A84C73">
        <w:rPr>
          <w:noProof/>
        </w:rPr>
        <w:t>receive</w:t>
      </w:r>
      <w:r>
        <w:rPr>
          <w:noProof/>
        </w:rPr>
        <w:t>d</w:t>
      </w:r>
      <w:r w:rsidRPr="00A84C73">
        <w:rPr>
          <w:noProof/>
        </w:rPr>
        <w:t xml:space="preserve"> an email notificat</w:t>
      </w:r>
      <w:r>
        <w:rPr>
          <w:noProof/>
        </w:rPr>
        <w:t xml:space="preserve">ion from CHA, Aging and DMH. </w:t>
      </w:r>
      <w:r w:rsidRPr="00A84C73">
        <w:rPr>
          <w:noProof/>
        </w:rPr>
        <w:t>DMH/Aging contact</w:t>
      </w:r>
      <w:r>
        <w:rPr>
          <w:noProof/>
        </w:rPr>
        <w:t>ed</w:t>
      </w:r>
      <w:r w:rsidRPr="00A84C73">
        <w:rPr>
          <w:noProof/>
        </w:rPr>
        <w:t xml:space="preserve"> agencies/MCOs ahead of time with Class Member names to have agencies/MCOs complete applications with </w:t>
      </w:r>
      <w:r w:rsidR="00944086">
        <w:rPr>
          <w:noProof/>
        </w:rPr>
        <w:t>Class Members</w:t>
      </w:r>
      <w:r w:rsidRPr="00A84C73">
        <w:rPr>
          <w:noProof/>
        </w:rPr>
        <w:t xml:space="preserve"> and gather documents</w:t>
      </w:r>
      <w:r>
        <w:rPr>
          <w:noProof/>
        </w:rPr>
        <w:t>. CHA will follow up with any interviewees who did not provide all of the required documentation or who missed their interview appointment. Once the HCV is awarded to a Class Member, they will transition in place from a state funded Bridge Subsidy to a federally funded Housing Choice Voucher.</w:t>
      </w:r>
    </w:p>
    <w:p w:rsidR="00C23472" w:rsidRPr="00966D5A" w:rsidRDefault="00C23472" w:rsidP="00CA6FEF">
      <w:pPr>
        <w:spacing w:after="0"/>
        <w:rPr>
          <w:noProof/>
        </w:rPr>
      </w:pPr>
    </w:p>
    <w:p w:rsidR="00C23472" w:rsidRPr="008E35FE" w:rsidRDefault="00C23472" w:rsidP="00CA6FEF">
      <w:pPr>
        <w:spacing w:after="0"/>
        <w:rPr>
          <w:u w:val="single"/>
        </w:rPr>
      </w:pPr>
      <w:r w:rsidRPr="008E35FE">
        <w:rPr>
          <w:noProof/>
          <w:u w:val="single"/>
        </w:rPr>
        <w:t>Housing Authority of Cook County</w:t>
      </w:r>
    </w:p>
    <w:p w:rsidR="00C23472" w:rsidRPr="00373E14" w:rsidRDefault="00C23472" w:rsidP="00CA6FEF">
      <w:pPr>
        <w:spacing w:after="0"/>
      </w:pPr>
      <w:r w:rsidRPr="00373E14">
        <w:t xml:space="preserve">The Housing Authority of Cook County (HACC) committed </w:t>
      </w:r>
      <w:r>
        <w:t xml:space="preserve">Section 811 PRA match of </w:t>
      </w:r>
      <w:r w:rsidRPr="00373E14">
        <w:t xml:space="preserve">10% of turnover vouchers to Colbert </w:t>
      </w:r>
      <w:r>
        <w:t xml:space="preserve">and Williams </w:t>
      </w:r>
      <w:r w:rsidR="00944086">
        <w:t>Class Members</w:t>
      </w:r>
      <w:r w:rsidRPr="00373E14">
        <w:t xml:space="preserve"> with an anticipated yield of 50 (Housing Choice Vouchers) HCV, 35 Hard </w:t>
      </w:r>
      <w:r>
        <w:t>units of Project Based Vouchers (</w:t>
      </w:r>
      <w:r w:rsidRPr="00373E14">
        <w:t>PBV</w:t>
      </w:r>
      <w:r>
        <w:t>) and Public Housing, and 35 Non E</w:t>
      </w:r>
      <w:r w:rsidRPr="00373E14">
        <w:t xml:space="preserve">lderly Disabled (NED) Vouchers for a total of 120 units. </w:t>
      </w:r>
    </w:p>
    <w:p w:rsidR="00C23472" w:rsidRPr="00373E14" w:rsidRDefault="00C23472" w:rsidP="00CA6FEF">
      <w:pPr>
        <w:spacing w:after="0"/>
      </w:pPr>
    </w:p>
    <w:p w:rsidR="00C23472" w:rsidRPr="002600D2" w:rsidRDefault="00C23472" w:rsidP="00CA6FEF">
      <w:pPr>
        <w:spacing w:after="0"/>
      </w:pPr>
      <w:r w:rsidRPr="00373E14">
        <w:t xml:space="preserve">To ensure we reach </w:t>
      </w:r>
      <w:r>
        <w:t xml:space="preserve">the HCV target goal of 50, HACC, Aging and DMH </w:t>
      </w:r>
      <w:r w:rsidRPr="00373E14">
        <w:t xml:space="preserve">are implementing a new initiative to transfer transitioned </w:t>
      </w:r>
      <w:r w:rsidR="00944086">
        <w:t>Class Members</w:t>
      </w:r>
      <w:r w:rsidRPr="00373E14">
        <w:t xml:space="preserve"> currently living in Cook County suburbs from the Bridge Subsidy to HVC at lease renewal. The HCV commitment should be complete by the end of the yea</w:t>
      </w:r>
      <w:r w:rsidRPr="002600D2">
        <w:t xml:space="preserve">r. </w:t>
      </w:r>
    </w:p>
    <w:p w:rsidR="00C23472" w:rsidRPr="002600D2" w:rsidRDefault="00C23472" w:rsidP="00CA6FEF">
      <w:pPr>
        <w:spacing w:after="0"/>
      </w:pPr>
    </w:p>
    <w:p w:rsidR="00C23472" w:rsidRDefault="00C23472" w:rsidP="00CA6FEF">
      <w:pPr>
        <w:spacing w:after="0"/>
      </w:pPr>
      <w:r w:rsidRPr="002600D2">
        <w:t>To help reach the PBV/Pub</w:t>
      </w:r>
      <w:r>
        <w:t>lic Housing goal of 35, HACC, Aging and DMH</w:t>
      </w:r>
      <w:r w:rsidRPr="002600D2">
        <w:t xml:space="preserve"> are implementing a new pre-application process for PBV buildings in the HACC pipeline to have </w:t>
      </w:r>
      <w:r w:rsidR="00944086">
        <w:t>Class Members</w:t>
      </w:r>
      <w:r w:rsidRPr="002600D2">
        <w:t xml:space="preserve"> placed on a waitlist to </w:t>
      </w:r>
      <w:r>
        <w:t xml:space="preserve">receive preference </w:t>
      </w:r>
      <w:r w:rsidRPr="002600D2">
        <w:t xml:space="preserve">accordingly. HACC will provide </w:t>
      </w:r>
      <w:r>
        <w:t xml:space="preserve">Aging and DMH </w:t>
      </w:r>
      <w:r w:rsidRPr="002600D2">
        <w:t xml:space="preserve">with a listing of current PBV and LIPH developments as well as a listing of PBV developments in the pipeline. These lists will be shared with the MCOs and provider agencies to have them work with </w:t>
      </w:r>
      <w:r w:rsidR="00944086">
        <w:t>Class Members</w:t>
      </w:r>
      <w:r w:rsidRPr="002600D2">
        <w:t xml:space="preserve"> to complete the pre-application. When units become available HACC will reach out to </w:t>
      </w:r>
      <w:r>
        <w:t>Aging</w:t>
      </w:r>
      <w:r w:rsidRPr="002600D2">
        <w:t xml:space="preserve"> </w:t>
      </w:r>
      <w:r>
        <w:t xml:space="preserve">and DMH to match interested </w:t>
      </w:r>
      <w:r w:rsidR="00944086">
        <w:t>Class Members</w:t>
      </w:r>
      <w:r w:rsidRPr="002600D2">
        <w:t xml:space="preserve"> with these units.</w:t>
      </w:r>
    </w:p>
    <w:p w:rsidR="00C23472" w:rsidRDefault="00C23472" w:rsidP="00CA6FEF">
      <w:pPr>
        <w:spacing w:after="0"/>
      </w:pPr>
    </w:p>
    <w:p w:rsidR="00C23472" w:rsidRDefault="00C23472" w:rsidP="00CA6FEF">
      <w:pPr>
        <w:spacing w:after="0"/>
      </w:pPr>
      <w:r>
        <w:t xml:space="preserve">The Housing Authority of Cook County committed to a match for the second Section 811 PRA grant recently awarded. They pledged an additional 60 turnover Housing Choice Vouchers. We will continue to work with HACC in order to connect </w:t>
      </w:r>
      <w:r w:rsidR="00944086">
        <w:t>Class Members</w:t>
      </w:r>
      <w:r>
        <w:t xml:space="preserve"> with these housing resources.</w:t>
      </w:r>
    </w:p>
    <w:p w:rsidR="00C23472" w:rsidRDefault="00C23472" w:rsidP="00CA6FEF">
      <w:pPr>
        <w:spacing w:after="0"/>
      </w:pPr>
    </w:p>
    <w:p w:rsidR="0014572B" w:rsidRDefault="0014572B" w:rsidP="00CA6FEF">
      <w:pPr>
        <w:spacing w:after="0"/>
        <w:rPr>
          <w:u w:val="single"/>
        </w:rPr>
      </w:pPr>
    </w:p>
    <w:p w:rsidR="0014572B" w:rsidRDefault="0014572B" w:rsidP="00CA6FEF">
      <w:pPr>
        <w:spacing w:after="0"/>
        <w:rPr>
          <w:u w:val="single"/>
        </w:rPr>
      </w:pPr>
    </w:p>
    <w:p w:rsidR="00C23472" w:rsidRDefault="00C23472" w:rsidP="00CA6FEF">
      <w:pPr>
        <w:spacing w:after="0"/>
        <w:rPr>
          <w:u w:val="single"/>
        </w:rPr>
      </w:pPr>
      <w:r>
        <w:rPr>
          <w:u w:val="single"/>
        </w:rPr>
        <w:lastRenderedPageBreak/>
        <w:t>Decatur Housing Authority</w:t>
      </w:r>
    </w:p>
    <w:p w:rsidR="00C23472" w:rsidRDefault="00C23472" w:rsidP="00CA6FEF">
      <w:pPr>
        <w:spacing w:after="0"/>
      </w:pPr>
      <w:r>
        <w:t>The Decatur Housing Authority (DHA) pledged match to the second Section 811 PRA grant recently awarded to the State of Illinois. Decatur is home to the farthest south IMD. DHA committed 15 units of Public Housing and 15 Housing Choice Vouchers through attrition. The Statewide Housing Coordinator met with DHA on March 25, 2015 to discuss the processes to operationalize these resources. DHA is completing the necessary changes to their Annual Plan in order to provide a preference to Olmstead related populations. We should begin accessing units in the late summer.</w:t>
      </w:r>
    </w:p>
    <w:p w:rsidR="00C23472" w:rsidRDefault="00C23472" w:rsidP="00CA6FEF">
      <w:pPr>
        <w:spacing w:after="0"/>
      </w:pPr>
    </w:p>
    <w:p w:rsidR="00C23472" w:rsidRDefault="00C23472" w:rsidP="00CA6FEF">
      <w:pPr>
        <w:spacing w:after="0"/>
        <w:rPr>
          <w:u w:val="single"/>
        </w:rPr>
      </w:pPr>
      <w:r>
        <w:rPr>
          <w:u w:val="single"/>
        </w:rPr>
        <w:t>Lake County Housing Authority</w:t>
      </w:r>
    </w:p>
    <w:p w:rsidR="00C23472" w:rsidRPr="005D2F02" w:rsidRDefault="00C23472" w:rsidP="00CA6FEF">
      <w:pPr>
        <w:spacing w:after="0"/>
      </w:pPr>
      <w:r>
        <w:t>The Lake County Housing Authority (LCHA) pledged match to the second Section 811 PRA grant recently awarded to the State of Illinois.  LCHA promised to amend its Section 811 Administrative Plan to adopt a first priority preference for up to one hundred Olmstead clients under their Housing Choice Voucher Program. The Statewide Housing Coordinator met with them on March 31, 2015 to discuss the processes to operationalize this resource. LCHA will be ready to begin receiving referrals for HCV mid-summer.</w:t>
      </w:r>
    </w:p>
    <w:p w:rsidR="00C23472" w:rsidRDefault="00C23472" w:rsidP="00CA6FEF">
      <w:pPr>
        <w:autoSpaceDE w:val="0"/>
        <w:autoSpaceDN w:val="0"/>
        <w:adjustRightInd w:val="0"/>
        <w:spacing w:after="0"/>
        <w:rPr>
          <w:rFonts w:ascii="Calibri" w:hAnsi="Calibri" w:cs="Calibri"/>
          <w:color w:val="000000"/>
          <w:sz w:val="11"/>
          <w:szCs w:val="11"/>
        </w:rPr>
      </w:pPr>
    </w:p>
    <w:p w:rsidR="00C23472" w:rsidRDefault="00C23472" w:rsidP="00CA6FEF">
      <w:pPr>
        <w:autoSpaceDE w:val="0"/>
        <w:autoSpaceDN w:val="0"/>
        <w:adjustRightInd w:val="0"/>
        <w:spacing w:after="0"/>
        <w:rPr>
          <w:rFonts w:ascii="Calibri" w:hAnsi="Calibri" w:cs="Calibri"/>
          <w:color w:val="000000"/>
        </w:rPr>
      </w:pPr>
      <w:r>
        <w:rPr>
          <w:rFonts w:ascii="Calibri" w:hAnsi="Calibri" w:cs="Calibri"/>
          <w:color w:val="000000"/>
          <w:u w:val="single"/>
        </w:rPr>
        <w:t>C</w:t>
      </w:r>
      <w:r>
        <w:rPr>
          <w:rFonts w:ascii="Calibri" w:hAnsi="Calibri" w:cs="Calibri"/>
          <w:color w:val="000000"/>
          <w:spacing w:val="1"/>
          <w:u w:val="single"/>
        </w:rPr>
        <w:t>oo</w:t>
      </w:r>
      <w:r>
        <w:rPr>
          <w:rFonts w:ascii="Calibri" w:hAnsi="Calibri" w:cs="Calibri"/>
          <w:color w:val="000000"/>
          <w:u w:val="single"/>
        </w:rPr>
        <w:t>r</w:t>
      </w:r>
      <w:r>
        <w:rPr>
          <w:rFonts w:ascii="Calibri" w:hAnsi="Calibri" w:cs="Calibri"/>
          <w:color w:val="000000"/>
          <w:spacing w:val="-1"/>
          <w:u w:val="single"/>
        </w:rPr>
        <w:t>d</w:t>
      </w:r>
      <w:r>
        <w:rPr>
          <w:rFonts w:ascii="Calibri" w:hAnsi="Calibri" w:cs="Calibri"/>
          <w:color w:val="000000"/>
          <w:u w:val="single"/>
        </w:rPr>
        <w:t>i</w:t>
      </w:r>
      <w:r>
        <w:rPr>
          <w:rFonts w:ascii="Calibri" w:hAnsi="Calibri" w:cs="Calibri"/>
          <w:color w:val="000000"/>
          <w:spacing w:val="-1"/>
          <w:u w:val="single"/>
        </w:rPr>
        <w:t>n</w:t>
      </w:r>
      <w:r>
        <w:rPr>
          <w:rFonts w:ascii="Calibri" w:hAnsi="Calibri" w:cs="Calibri"/>
          <w:color w:val="000000"/>
          <w:u w:val="single"/>
        </w:rPr>
        <w:t>a</w:t>
      </w:r>
      <w:r>
        <w:rPr>
          <w:rFonts w:ascii="Calibri" w:hAnsi="Calibri" w:cs="Calibri"/>
          <w:color w:val="000000"/>
          <w:spacing w:val="-2"/>
          <w:u w:val="single"/>
        </w:rPr>
        <w:t>t</w:t>
      </w:r>
      <w:r>
        <w:rPr>
          <w:rFonts w:ascii="Calibri" w:hAnsi="Calibri" w:cs="Calibri"/>
          <w:color w:val="000000"/>
          <w:u w:val="single"/>
        </w:rPr>
        <w:t xml:space="preserve">ed </w:t>
      </w:r>
      <w:r>
        <w:rPr>
          <w:rFonts w:ascii="Calibri" w:hAnsi="Calibri" w:cs="Calibri"/>
          <w:color w:val="000000"/>
          <w:spacing w:val="-2"/>
          <w:u w:val="single"/>
        </w:rPr>
        <w:t>R</w:t>
      </w:r>
      <w:r>
        <w:rPr>
          <w:rFonts w:ascii="Calibri" w:hAnsi="Calibri" w:cs="Calibri"/>
          <w:color w:val="000000"/>
          <w:u w:val="single"/>
        </w:rPr>
        <w:t>e</w:t>
      </w:r>
      <w:r>
        <w:rPr>
          <w:rFonts w:ascii="Calibri" w:hAnsi="Calibri" w:cs="Calibri"/>
          <w:color w:val="000000"/>
          <w:spacing w:val="-1"/>
          <w:u w:val="single"/>
        </w:rPr>
        <w:t>m</w:t>
      </w:r>
      <w:r>
        <w:rPr>
          <w:rFonts w:ascii="Calibri" w:hAnsi="Calibri" w:cs="Calibri"/>
          <w:color w:val="000000"/>
          <w:u w:val="single"/>
        </w:rPr>
        <w:t>ed</w:t>
      </w:r>
      <w:r>
        <w:rPr>
          <w:rFonts w:ascii="Calibri" w:hAnsi="Calibri" w:cs="Calibri"/>
          <w:color w:val="000000"/>
          <w:spacing w:val="-1"/>
          <w:u w:val="single"/>
        </w:rPr>
        <w:t>i</w:t>
      </w:r>
      <w:r>
        <w:rPr>
          <w:rFonts w:ascii="Calibri" w:hAnsi="Calibri" w:cs="Calibri"/>
          <w:color w:val="000000"/>
          <w:u w:val="single"/>
        </w:rPr>
        <w:t>al</w:t>
      </w:r>
      <w:r>
        <w:rPr>
          <w:rFonts w:ascii="Calibri" w:hAnsi="Calibri" w:cs="Calibri"/>
          <w:color w:val="000000"/>
          <w:spacing w:val="-2"/>
          <w:u w:val="single"/>
        </w:rPr>
        <w:t xml:space="preserve"> </w:t>
      </w:r>
      <w:r>
        <w:rPr>
          <w:rFonts w:ascii="Calibri" w:hAnsi="Calibri" w:cs="Calibri"/>
          <w:color w:val="000000"/>
          <w:spacing w:val="1"/>
          <w:u w:val="single"/>
        </w:rPr>
        <w:t>P</w:t>
      </w:r>
      <w:r>
        <w:rPr>
          <w:rFonts w:ascii="Calibri" w:hAnsi="Calibri" w:cs="Calibri"/>
          <w:color w:val="000000"/>
          <w:u w:val="single"/>
        </w:rPr>
        <w:t>lan</w:t>
      </w:r>
    </w:p>
    <w:p w:rsidR="00C23472" w:rsidRDefault="00C23472" w:rsidP="00CA6FEF">
      <w:pPr>
        <w:autoSpaceDE w:val="0"/>
        <w:autoSpaceDN w:val="0"/>
        <w:adjustRightInd w:val="0"/>
        <w:spacing w:after="0"/>
        <w:rPr>
          <w:rFonts w:ascii="Calibri" w:hAnsi="Calibri" w:cs="Calibri"/>
          <w:color w:val="000000"/>
        </w:rPr>
      </w:pPr>
      <w:r>
        <w:rPr>
          <w:rFonts w:ascii="Calibri" w:hAnsi="Calibri" w:cs="Calibri"/>
          <w:color w:val="000000"/>
        </w:rPr>
        <w:t xml:space="preserve">The Statewide Housing Coordinator, in </w:t>
      </w:r>
      <w:r>
        <w:rPr>
          <w:rFonts w:ascii="Calibri" w:hAnsi="Calibri" w:cs="Calibri"/>
          <w:color w:val="000000"/>
          <w:spacing w:val="-1"/>
        </w:rPr>
        <w:t>p</w:t>
      </w:r>
      <w:r>
        <w:rPr>
          <w:rFonts w:ascii="Calibri" w:hAnsi="Calibri" w:cs="Calibri"/>
          <w:color w:val="000000"/>
        </w:rPr>
        <w:t>art</w:t>
      </w:r>
      <w:r>
        <w:rPr>
          <w:rFonts w:ascii="Calibri" w:hAnsi="Calibri" w:cs="Calibri"/>
          <w:color w:val="000000"/>
          <w:spacing w:val="-1"/>
        </w:rPr>
        <w:t>n</w:t>
      </w:r>
      <w:r>
        <w:rPr>
          <w:rFonts w:ascii="Calibri" w:hAnsi="Calibri" w:cs="Calibri"/>
          <w:color w:val="000000"/>
        </w:rPr>
        <w:t>ersh</w:t>
      </w:r>
      <w:r>
        <w:rPr>
          <w:rFonts w:ascii="Calibri" w:hAnsi="Calibri" w:cs="Calibri"/>
          <w:color w:val="000000"/>
          <w:spacing w:val="-1"/>
        </w:rPr>
        <w:t>i</w:t>
      </w:r>
      <w:r>
        <w:rPr>
          <w:rFonts w:ascii="Calibri" w:hAnsi="Calibri" w:cs="Calibri"/>
          <w:color w:val="000000"/>
        </w:rPr>
        <w:t>p</w:t>
      </w:r>
      <w:r>
        <w:rPr>
          <w:rFonts w:ascii="Calibri" w:hAnsi="Calibri" w:cs="Calibri"/>
          <w:color w:val="000000"/>
          <w:spacing w:val="-3"/>
        </w:rPr>
        <w:t xml:space="preserve"> </w:t>
      </w:r>
      <w:r>
        <w:rPr>
          <w:rFonts w:ascii="Calibri" w:hAnsi="Calibri" w:cs="Calibri"/>
          <w:color w:val="000000"/>
        </w:rPr>
        <w:t xml:space="preserve">with </w:t>
      </w:r>
      <w:r>
        <w:rPr>
          <w:rFonts w:ascii="Calibri" w:hAnsi="Calibri" w:cs="Calibri"/>
          <w:color w:val="000000"/>
          <w:spacing w:val="-2"/>
        </w:rPr>
        <w:t>I</w:t>
      </w:r>
      <w:r>
        <w:rPr>
          <w:rFonts w:ascii="Calibri" w:hAnsi="Calibri" w:cs="Calibri"/>
          <w:color w:val="000000"/>
          <w:spacing w:val="-1"/>
        </w:rPr>
        <w:t>H</w:t>
      </w:r>
      <w:r>
        <w:rPr>
          <w:rFonts w:ascii="Calibri" w:hAnsi="Calibri" w:cs="Calibri"/>
          <w:color w:val="000000"/>
          <w:spacing w:val="1"/>
        </w:rPr>
        <w:t>D</w:t>
      </w:r>
      <w:r>
        <w:rPr>
          <w:rFonts w:ascii="Calibri" w:hAnsi="Calibri" w:cs="Calibri"/>
          <w:color w:val="000000"/>
        </w:rPr>
        <w:t>A, 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thers</w:t>
      </w:r>
      <w:r>
        <w:rPr>
          <w:rFonts w:ascii="Calibri" w:hAnsi="Calibri" w:cs="Calibri"/>
          <w:color w:val="000000"/>
          <w:spacing w:val="-2"/>
        </w:rPr>
        <w:t xml:space="preserve"> </w:t>
      </w:r>
      <w:r>
        <w:rPr>
          <w:rFonts w:ascii="Calibri" w:hAnsi="Calibri" w:cs="Calibri"/>
          <w:color w:val="000000"/>
        </w:rPr>
        <w:t>have begun outreach</w:t>
      </w:r>
      <w:r>
        <w:rPr>
          <w:rFonts w:ascii="Calibri" w:hAnsi="Calibri" w:cs="Calibri"/>
          <w:color w:val="000000"/>
          <w:spacing w:val="-1"/>
        </w:rPr>
        <w:t xml:space="preserve"> </w:t>
      </w:r>
      <w:r>
        <w:rPr>
          <w:rFonts w:ascii="Calibri" w:hAnsi="Calibri" w:cs="Calibri"/>
          <w:color w:val="000000"/>
          <w:spacing w:val="1"/>
        </w:rPr>
        <w:t>t</w:t>
      </w:r>
      <w:r>
        <w:rPr>
          <w:rFonts w:ascii="Calibri" w:hAnsi="Calibri" w:cs="Calibri"/>
          <w:color w:val="000000"/>
        </w:rPr>
        <w:t xml:space="preserve">o </w:t>
      </w:r>
      <w:r>
        <w:rPr>
          <w:rFonts w:ascii="Calibri" w:hAnsi="Calibri" w:cs="Calibri"/>
          <w:color w:val="000000"/>
          <w:spacing w:val="1"/>
        </w:rPr>
        <w:t xml:space="preserve">Public </w:t>
      </w:r>
      <w:r>
        <w:rPr>
          <w:rFonts w:ascii="Calibri" w:hAnsi="Calibri" w:cs="Calibri"/>
          <w:color w:val="000000"/>
          <w:spacing w:val="-1"/>
        </w:rPr>
        <w:t xml:space="preserve">Housing </w:t>
      </w:r>
      <w:r>
        <w:rPr>
          <w:rFonts w:ascii="Calibri" w:hAnsi="Calibri" w:cs="Calibri"/>
          <w:color w:val="000000"/>
        </w:rPr>
        <w:t>Authorities (PHAs) acr</w:t>
      </w:r>
      <w:r>
        <w:rPr>
          <w:rFonts w:ascii="Calibri" w:hAnsi="Calibri" w:cs="Calibri"/>
          <w:color w:val="000000"/>
          <w:spacing w:val="1"/>
        </w:rPr>
        <w:t>o</w:t>
      </w:r>
      <w:r>
        <w:rPr>
          <w:rFonts w:ascii="Calibri" w:hAnsi="Calibri" w:cs="Calibri"/>
          <w:color w:val="000000"/>
        </w:rPr>
        <w:t>ss</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sta</w:t>
      </w:r>
      <w:r>
        <w:rPr>
          <w:rFonts w:ascii="Calibri" w:hAnsi="Calibri" w:cs="Calibri"/>
          <w:color w:val="000000"/>
          <w:spacing w:val="-2"/>
        </w:rPr>
        <w:t>t</w:t>
      </w:r>
      <w:r>
        <w:rPr>
          <w:rFonts w:ascii="Calibri" w:hAnsi="Calibri" w:cs="Calibri"/>
          <w:color w:val="000000"/>
        </w:rPr>
        <w:t>e</w:t>
      </w:r>
      <w:r>
        <w:rPr>
          <w:rFonts w:ascii="Calibri" w:hAnsi="Calibri" w:cs="Calibri"/>
          <w:color w:val="000000"/>
          <w:spacing w:val="1"/>
        </w:rPr>
        <w:t xml:space="preserve"> encouraging them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spacing w:val="-1"/>
        </w:rPr>
        <w:t>p</w:t>
      </w:r>
      <w:r>
        <w:rPr>
          <w:rFonts w:ascii="Calibri" w:hAnsi="Calibri" w:cs="Calibri"/>
          <w:color w:val="000000"/>
          <w:spacing w:val="1"/>
        </w:rPr>
        <w:t>t</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spacing w:val="1"/>
        </w:rPr>
        <w:t>m</w:t>
      </w:r>
      <w:r>
        <w:rPr>
          <w:rFonts w:ascii="Calibri" w:hAnsi="Calibri" w:cs="Calibri"/>
          <w:color w:val="000000"/>
        </w:rPr>
        <w:t>ed</w:t>
      </w:r>
      <w:r>
        <w:rPr>
          <w:rFonts w:ascii="Calibri" w:hAnsi="Calibri" w:cs="Calibri"/>
          <w:color w:val="000000"/>
          <w:spacing w:val="-1"/>
        </w:rPr>
        <w:t>i</w:t>
      </w:r>
      <w:r>
        <w:rPr>
          <w:rFonts w:ascii="Calibri" w:hAnsi="Calibri" w:cs="Calibri"/>
          <w:color w:val="000000"/>
        </w:rPr>
        <w:t>al</w:t>
      </w:r>
      <w:r>
        <w:rPr>
          <w:rFonts w:ascii="Calibri" w:hAnsi="Calibri" w:cs="Calibri"/>
          <w:color w:val="000000"/>
          <w:spacing w:val="-3"/>
        </w:rPr>
        <w:t xml:space="preserve"> </w:t>
      </w:r>
      <w:r>
        <w:rPr>
          <w:rFonts w:ascii="Calibri" w:hAnsi="Calibri" w:cs="Calibri"/>
          <w:color w:val="000000"/>
          <w:spacing w:val="1"/>
        </w:rPr>
        <w:t>P</w:t>
      </w:r>
      <w:r>
        <w:rPr>
          <w:rFonts w:ascii="Calibri" w:hAnsi="Calibri" w:cs="Calibri"/>
          <w:color w:val="000000"/>
        </w:rPr>
        <w:t>lan</w:t>
      </w:r>
      <w:r>
        <w:rPr>
          <w:rFonts w:ascii="Calibri" w:hAnsi="Calibri" w:cs="Calibri"/>
          <w:color w:val="000000"/>
          <w:spacing w:val="-3"/>
        </w:rPr>
        <w:t xml:space="preserve"> </w:t>
      </w:r>
      <w:r>
        <w:rPr>
          <w:rFonts w:ascii="Calibri" w:hAnsi="Calibri" w:cs="Calibri"/>
          <w:color w:val="000000"/>
        </w:rPr>
        <w:t>(ap</w:t>
      </w:r>
      <w:r>
        <w:rPr>
          <w:rFonts w:ascii="Calibri" w:hAnsi="Calibri" w:cs="Calibri"/>
          <w:color w:val="000000"/>
          <w:spacing w:val="-2"/>
        </w:rPr>
        <w:t>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1"/>
        </w:rPr>
        <w:t>v</w:t>
      </w:r>
      <w:r>
        <w:rPr>
          <w:rFonts w:ascii="Calibri" w:hAnsi="Calibri" w:cs="Calibri"/>
          <w:color w:val="000000"/>
        </w:rPr>
        <w:t>ed by</w:t>
      </w:r>
      <w:r>
        <w:rPr>
          <w:rFonts w:ascii="Calibri" w:hAnsi="Calibri" w:cs="Calibri"/>
          <w:color w:val="000000"/>
          <w:spacing w:val="-2"/>
        </w:rPr>
        <w:t xml:space="preserve"> </w:t>
      </w:r>
      <w:r>
        <w:rPr>
          <w:rFonts w:ascii="Calibri" w:hAnsi="Calibri" w:cs="Calibri"/>
          <w:color w:val="000000"/>
        </w:rPr>
        <w:t>HU</w:t>
      </w:r>
      <w:r>
        <w:rPr>
          <w:rFonts w:ascii="Calibri" w:hAnsi="Calibri" w:cs="Calibri"/>
          <w:color w:val="000000"/>
          <w:spacing w:val="-2"/>
        </w:rPr>
        <w:t>D</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rPr>
        <w:t>that</w:t>
      </w:r>
      <w:r>
        <w:rPr>
          <w:rFonts w:ascii="Calibri" w:hAnsi="Calibri" w:cs="Calibri"/>
          <w:color w:val="000000"/>
          <w:spacing w:val="-2"/>
        </w:rPr>
        <w:t xml:space="preserve"> </w:t>
      </w:r>
      <w:r>
        <w:rPr>
          <w:rFonts w:ascii="Calibri" w:hAnsi="Calibri" w:cs="Calibri"/>
          <w:color w:val="000000"/>
          <w:spacing w:val="1"/>
        </w:rPr>
        <w:t>w</w:t>
      </w:r>
      <w:r>
        <w:rPr>
          <w:rFonts w:ascii="Calibri" w:hAnsi="Calibri" w:cs="Calibri"/>
          <w:color w:val="000000"/>
        </w:rPr>
        <w:t>ill al</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rPr>
        <w:t>w</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rPr>
        <w:t>refe</w:t>
      </w:r>
      <w:r>
        <w:rPr>
          <w:rFonts w:ascii="Calibri" w:hAnsi="Calibri" w:cs="Calibri"/>
          <w:color w:val="000000"/>
          <w:spacing w:val="-2"/>
        </w:rPr>
        <w:t>r</w:t>
      </w:r>
      <w:r>
        <w:rPr>
          <w:rFonts w:ascii="Calibri" w:hAnsi="Calibri" w:cs="Calibri"/>
          <w:color w:val="000000"/>
        </w:rPr>
        <w:t>ence</w:t>
      </w:r>
      <w:r>
        <w:rPr>
          <w:rFonts w:ascii="Calibri" w:hAnsi="Calibri" w:cs="Calibri"/>
          <w:color w:val="000000"/>
          <w:spacing w:val="-1"/>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 xml:space="preserve">be </w:t>
      </w:r>
      <w:r>
        <w:rPr>
          <w:rFonts w:ascii="Calibri" w:hAnsi="Calibri" w:cs="Calibri"/>
          <w:color w:val="000000"/>
          <w:spacing w:val="-1"/>
        </w:rPr>
        <w:t>g</w:t>
      </w:r>
      <w:r>
        <w:rPr>
          <w:rFonts w:ascii="Calibri" w:hAnsi="Calibri" w:cs="Calibri"/>
          <w:color w:val="000000"/>
        </w:rPr>
        <w:t>iv</w:t>
      </w:r>
      <w:r>
        <w:rPr>
          <w:rFonts w:ascii="Calibri" w:hAnsi="Calibri" w:cs="Calibri"/>
          <w:color w:val="000000"/>
          <w:spacing w:val="1"/>
        </w:rPr>
        <w:t>e</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O</w:t>
      </w:r>
      <w:r>
        <w:rPr>
          <w:rFonts w:ascii="Calibri" w:hAnsi="Calibri" w:cs="Calibri"/>
          <w:color w:val="000000"/>
          <w:spacing w:val="-3"/>
        </w:rPr>
        <w:t>l</w:t>
      </w:r>
      <w:r>
        <w:rPr>
          <w:rFonts w:ascii="Calibri" w:hAnsi="Calibri" w:cs="Calibri"/>
          <w:color w:val="000000"/>
          <w:spacing w:val="1"/>
        </w:rPr>
        <w:t>m</w:t>
      </w:r>
      <w:r>
        <w:rPr>
          <w:rFonts w:ascii="Calibri" w:hAnsi="Calibri" w:cs="Calibri"/>
          <w:color w:val="000000"/>
          <w:spacing w:val="-2"/>
        </w:rPr>
        <w:t>s</w:t>
      </w:r>
      <w:r>
        <w:rPr>
          <w:rFonts w:ascii="Calibri" w:hAnsi="Calibri" w:cs="Calibri"/>
          <w:color w:val="000000"/>
        </w:rPr>
        <w:t>t</w:t>
      </w:r>
      <w:r>
        <w:rPr>
          <w:rFonts w:ascii="Calibri" w:hAnsi="Calibri" w:cs="Calibri"/>
          <w:color w:val="000000"/>
          <w:spacing w:val="1"/>
        </w:rPr>
        <w:t>e</w:t>
      </w:r>
      <w:r>
        <w:rPr>
          <w:rFonts w:ascii="Calibri" w:hAnsi="Calibri" w:cs="Calibri"/>
          <w:color w:val="000000"/>
        </w:rPr>
        <w:t>ad</w:t>
      </w:r>
      <w:r>
        <w:rPr>
          <w:rFonts w:ascii="Calibri" w:hAnsi="Calibri" w:cs="Calibri"/>
          <w:color w:val="000000"/>
          <w:spacing w:val="-1"/>
        </w:rPr>
        <w:t xml:space="preserve"> </w:t>
      </w:r>
      <w:r>
        <w:rPr>
          <w:rFonts w:ascii="Calibri" w:hAnsi="Calibri" w:cs="Calibri"/>
          <w:color w:val="000000"/>
          <w:spacing w:val="-3"/>
        </w:rPr>
        <w:t>p</w:t>
      </w:r>
      <w:r>
        <w:rPr>
          <w:rFonts w:ascii="Calibri" w:hAnsi="Calibri" w:cs="Calibri"/>
          <w:color w:val="000000"/>
          <w:spacing w:val="1"/>
        </w:rPr>
        <w:t>o</w:t>
      </w:r>
      <w:r>
        <w:rPr>
          <w:rFonts w:ascii="Calibri" w:hAnsi="Calibri" w:cs="Calibri"/>
          <w:color w:val="000000"/>
          <w:spacing w:val="-1"/>
        </w:rPr>
        <w:t>pu</w:t>
      </w:r>
      <w:r>
        <w:rPr>
          <w:rFonts w:ascii="Calibri" w:hAnsi="Calibri" w:cs="Calibri"/>
          <w:color w:val="000000"/>
        </w:rPr>
        <w:t>lat</w:t>
      </w:r>
      <w:r>
        <w:rPr>
          <w:rFonts w:ascii="Calibri" w:hAnsi="Calibri" w:cs="Calibri"/>
          <w:color w:val="000000"/>
          <w:spacing w:val="-3"/>
        </w:rPr>
        <w: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50"/>
        </w:rPr>
        <w:t xml:space="preserve"> </w:t>
      </w:r>
      <w:r>
        <w:rPr>
          <w:rFonts w:ascii="Calibri" w:hAnsi="Calibri" w:cs="Calibri"/>
          <w:color w:val="000000"/>
          <w:spacing w:val="1"/>
        </w:rPr>
        <w:t>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i</w:t>
      </w:r>
      <w:r>
        <w:rPr>
          <w:rFonts w:ascii="Calibri" w:hAnsi="Calibri" w:cs="Calibri"/>
          <w:color w:val="000000"/>
          <w:spacing w:val="1"/>
        </w:rPr>
        <w:t>m</w:t>
      </w:r>
      <w:r>
        <w:rPr>
          <w:rFonts w:ascii="Calibri" w:hAnsi="Calibri" w:cs="Calibri"/>
          <w:color w:val="000000"/>
          <w:spacing w:val="-1"/>
        </w:rPr>
        <w:t>m</w:t>
      </w:r>
      <w:r>
        <w:rPr>
          <w:rFonts w:ascii="Calibri" w:hAnsi="Calibri" w:cs="Calibri"/>
          <w:color w:val="000000"/>
        </w:rPr>
        <w:t>ed</w:t>
      </w:r>
      <w:r>
        <w:rPr>
          <w:rFonts w:ascii="Calibri" w:hAnsi="Calibri" w:cs="Calibri"/>
          <w:color w:val="000000"/>
          <w:spacing w:val="-1"/>
        </w:rPr>
        <w:t>i</w:t>
      </w:r>
      <w:r>
        <w:rPr>
          <w:rFonts w:ascii="Calibri" w:hAnsi="Calibri" w:cs="Calibri"/>
          <w:color w:val="000000"/>
        </w:rPr>
        <w:t>ate</w:t>
      </w:r>
      <w:r>
        <w:rPr>
          <w:rFonts w:ascii="Calibri" w:hAnsi="Calibri" w:cs="Calibri"/>
          <w:color w:val="000000"/>
          <w:spacing w:val="-1"/>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cus</w:t>
      </w:r>
      <w:r>
        <w:rPr>
          <w:rFonts w:ascii="Calibri" w:hAnsi="Calibri" w:cs="Calibri"/>
          <w:color w:val="000000"/>
          <w:spacing w:val="-2"/>
        </w:rPr>
        <w:t xml:space="preserve"> </w:t>
      </w:r>
      <w:r>
        <w:rPr>
          <w:rFonts w:ascii="Calibri" w:hAnsi="Calibri" w:cs="Calibri"/>
          <w:color w:val="000000"/>
        </w:rPr>
        <w:t xml:space="preserve">has </w:t>
      </w:r>
      <w:r>
        <w:rPr>
          <w:rFonts w:ascii="Calibri" w:hAnsi="Calibri" w:cs="Calibri"/>
          <w:color w:val="000000"/>
          <w:spacing w:val="-1"/>
        </w:rPr>
        <w:t>b</w:t>
      </w:r>
      <w:r>
        <w:rPr>
          <w:rFonts w:ascii="Calibri" w:hAnsi="Calibri" w:cs="Calibri"/>
          <w:color w:val="000000"/>
        </w:rPr>
        <w:t>een</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1"/>
        </w:rPr>
        <w:t>H</w:t>
      </w:r>
      <w:r>
        <w:rPr>
          <w:rFonts w:ascii="Calibri" w:hAnsi="Calibri" w:cs="Calibri"/>
          <w:color w:val="000000"/>
        </w:rPr>
        <w:t>As with pledged Section 811 matching resources. We plan to expand outreach to PHAs in those counties identified by the Section 811 Interagency Panel Allocations Committee as “communities of preference.”</w:t>
      </w:r>
    </w:p>
    <w:p w:rsidR="00AF1732" w:rsidRDefault="00AF1732" w:rsidP="00CA6FEF">
      <w:pPr>
        <w:spacing w:after="0"/>
      </w:pPr>
    </w:p>
    <w:p w:rsidR="008D66F2" w:rsidRPr="007B70B2" w:rsidRDefault="008D66F2" w:rsidP="00CA6FEF">
      <w:pPr>
        <w:spacing w:after="0"/>
      </w:pPr>
      <w:r w:rsidRPr="0029619A">
        <w:rPr>
          <w:b/>
          <w:u w:val="single"/>
        </w:rPr>
        <w:t>Supervised Residential Expansion</w:t>
      </w:r>
      <w:r w:rsidR="007B70B2">
        <w:rPr>
          <w:b/>
          <w:u w:val="single"/>
        </w:rPr>
        <w:t xml:space="preserve"> </w:t>
      </w:r>
      <w:r w:rsidR="00CA6FEF">
        <w:t xml:space="preserve">  </w:t>
      </w:r>
    </w:p>
    <w:p w:rsidR="002B3997" w:rsidRDefault="002B3997" w:rsidP="002B3997">
      <w:pPr>
        <w:spacing w:after="0"/>
      </w:pPr>
      <w:r w:rsidRPr="00CA0726">
        <w:t xml:space="preserve">The Williams Consent Decree spells out the </w:t>
      </w:r>
      <w:r w:rsidR="00944086" w:rsidRPr="00CA0726">
        <w:t>Class Members</w:t>
      </w:r>
      <w:r w:rsidRPr="00CA0726">
        <w:t xml:space="preserve"> be afforded the opportunity to live in the community of their choice via the DMH Permanent Supportive Housing (PSH) - Bridge Subsidy Model, where the </w:t>
      </w:r>
      <w:r w:rsidR="00944086" w:rsidRPr="00CA0726">
        <w:t>Class Members</w:t>
      </w:r>
      <w:r w:rsidRPr="00CA0726">
        <w:t xml:space="preserve"> would be holding their own lease and receiving an appropriate level of support services. The tenant can refuse services and still maintain their housing, as services are not a condition of tenancy.</w:t>
      </w:r>
    </w:p>
    <w:p w:rsidR="007425B2" w:rsidRPr="00CA0726" w:rsidRDefault="007425B2" w:rsidP="002B3997">
      <w:pPr>
        <w:spacing w:after="0"/>
      </w:pPr>
    </w:p>
    <w:p w:rsidR="002B3997" w:rsidRDefault="002B3997" w:rsidP="002B3997">
      <w:pPr>
        <w:spacing w:after="0"/>
      </w:pPr>
      <w:r w:rsidRPr="00CA0726">
        <w:t xml:space="preserve">As DMH continues transitioning Williams </w:t>
      </w:r>
      <w:r w:rsidR="00944086" w:rsidRPr="00CA0726">
        <w:t>Class Members</w:t>
      </w:r>
      <w:r w:rsidRPr="00CA0726">
        <w:t xml:space="preserve"> (WCM’s) out of IMD’s there is clear clinical evidence that some percentage of WCM’s require a level of care that would not be satisfied through the DMH PSH resource. DMH is addressing the need for resources that will provide a level of care for these identified WCM’s through expanding and creating Supervised Residential Program resources. In the Supervised Residential Program WCM’s will be afforded clinical staff oversight (staff in house 24-7) in a housing type environment that will attend to immediate issues of living in the community safely, as well as the provision of skill training whereas the WCM’s can ultimately learn and acquire the necessary daily living skills to afford them the opportunity to live independently (via PSH) in the community at some point in the future.</w:t>
      </w:r>
    </w:p>
    <w:p w:rsidR="007425B2" w:rsidRPr="00CA0726" w:rsidRDefault="007425B2" w:rsidP="002B3997">
      <w:pPr>
        <w:spacing w:after="0"/>
      </w:pPr>
    </w:p>
    <w:p w:rsidR="0014572B" w:rsidRDefault="0014572B" w:rsidP="00143BFF">
      <w:pPr>
        <w:rPr>
          <w:b/>
          <w:u w:val="single"/>
        </w:rPr>
      </w:pPr>
    </w:p>
    <w:p w:rsidR="00143BFF" w:rsidRPr="00D11B0C" w:rsidRDefault="00143BFF" w:rsidP="00143BFF">
      <w:r w:rsidRPr="00F90018">
        <w:rPr>
          <w:b/>
          <w:u w:val="single"/>
        </w:rPr>
        <w:lastRenderedPageBreak/>
        <w:t>Cor</w:t>
      </w:r>
      <w:r w:rsidR="00D11B0C">
        <w:rPr>
          <w:b/>
          <w:u w:val="single"/>
        </w:rPr>
        <w:t>poration for Supportive Housing</w:t>
      </w:r>
      <w:r w:rsidR="00D11B0C">
        <w:t xml:space="preserve">     </w:t>
      </w:r>
    </w:p>
    <w:p w:rsidR="00143BFF" w:rsidRDefault="00143BFF" w:rsidP="00C16A05">
      <w:pPr>
        <w:spacing w:after="0"/>
      </w:pPr>
      <w:r w:rsidRPr="00F90018">
        <w:t xml:space="preserve">Corporation for Supportive Housing (CSH) is under contract with DMH to assist in developing housing access to integrate Class Members into community-based housing options. CSH facilitates and brokers policy discussions between DMH and housing developers, advocates, </w:t>
      </w:r>
      <w:r>
        <w:t xml:space="preserve">other governmental entities, </w:t>
      </w:r>
      <w:r w:rsidRPr="00F90018">
        <w:t xml:space="preserve">and investors with the goal of developing and leveraging quality supportive housing. </w:t>
      </w:r>
      <w:r>
        <w:t>This involves impacting the housing operations and client access to units, the planning and delivery of effective services, and the coordination between housing and services to get and keep the target populations in housing in the long-term.</w:t>
      </w:r>
    </w:p>
    <w:p w:rsidR="00C16A05" w:rsidRPr="00F90018" w:rsidRDefault="00C16A05" w:rsidP="00C16A05">
      <w:pPr>
        <w:spacing w:after="0"/>
      </w:pPr>
    </w:p>
    <w:p w:rsidR="00143BFF" w:rsidRPr="00F90018" w:rsidRDefault="00143BFF" w:rsidP="00C16A05">
      <w:pPr>
        <w:spacing w:after="0"/>
      </w:pPr>
      <w:r w:rsidRPr="00F90018">
        <w:rPr>
          <w:u w:val="single"/>
        </w:rPr>
        <w:t>Trainings &amp; Presentations</w:t>
      </w:r>
    </w:p>
    <w:p w:rsidR="00143BFF" w:rsidRDefault="00143BFF" w:rsidP="00C16A05">
      <w:pPr>
        <w:numPr>
          <w:ilvl w:val="0"/>
          <w:numId w:val="7"/>
        </w:numPr>
        <w:spacing w:after="0"/>
        <w:ind w:left="0"/>
      </w:pPr>
      <w:r w:rsidRPr="00F90018">
        <w:t xml:space="preserve">CSH conducted a series of webinar trainings and presentations that were targeted to Williams Transition Agencies but also open to agencies and staff working on Colbert Consent Decree, Ligas Consent Decree, and community-based providers of supportive housing. </w:t>
      </w:r>
      <w:r>
        <w:t>These topics were prioritized by Williams agencies, and aim to engage providers in timely issues that impact long-term success of supportive housing for people moving into their own home after many years.</w:t>
      </w:r>
    </w:p>
    <w:p w:rsidR="00143BFF" w:rsidRPr="00F90018" w:rsidRDefault="00143BFF" w:rsidP="00C16A05">
      <w:pPr>
        <w:pStyle w:val="ListParagraph"/>
        <w:numPr>
          <w:ilvl w:val="1"/>
          <w:numId w:val="7"/>
        </w:numPr>
        <w:spacing w:after="0"/>
        <w:ind w:left="0"/>
      </w:pPr>
      <w:r w:rsidRPr="00F90018">
        <w:t>March 17</w:t>
      </w:r>
      <w:r w:rsidRPr="004337A1">
        <w:rPr>
          <w:vertAlign w:val="superscript"/>
        </w:rPr>
        <w:t>th</w:t>
      </w:r>
      <w:r w:rsidRPr="00F90018">
        <w:t xml:space="preserve"> (10:00 AM)– Overview of Bridge Subsidy Program</w:t>
      </w:r>
      <w:r>
        <w:t xml:space="preserve">. This recorded webinar was done in collaboration with </w:t>
      </w:r>
      <w:r w:rsidRPr="00F90018">
        <w:t>Lindsay Huth</w:t>
      </w:r>
      <w:r>
        <w:t xml:space="preserve"> of DMH</w:t>
      </w:r>
      <w:r w:rsidRPr="00F90018">
        <w:t xml:space="preserve"> and Patricia Hill from </w:t>
      </w:r>
      <w:r>
        <w:t>T</w:t>
      </w:r>
      <w:r w:rsidRPr="00F90018">
        <w:t xml:space="preserve">he Collaborative. </w:t>
      </w:r>
    </w:p>
    <w:p w:rsidR="00143BFF" w:rsidRPr="00F90018" w:rsidRDefault="00143BFF" w:rsidP="00C16A05">
      <w:pPr>
        <w:pStyle w:val="ListParagraph"/>
        <w:numPr>
          <w:ilvl w:val="1"/>
          <w:numId w:val="7"/>
        </w:numPr>
        <w:spacing w:after="0"/>
        <w:ind w:left="0"/>
      </w:pPr>
      <w:r w:rsidRPr="00F90018">
        <w:t>March 30, 2015 (1:00 PM) – Reducing Time from Referral to Housing</w:t>
      </w:r>
      <w:r w:rsidR="00DA1DEE">
        <w:t>.</w:t>
      </w:r>
    </w:p>
    <w:p w:rsidR="00143BFF" w:rsidRPr="00F90018" w:rsidRDefault="00143BFF" w:rsidP="00C16A05">
      <w:pPr>
        <w:pStyle w:val="ListParagraph"/>
        <w:numPr>
          <w:ilvl w:val="1"/>
          <w:numId w:val="7"/>
        </w:numPr>
        <w:spacing w:after="0"/>
        <w:ind w:left="0"/>
      </w:pPr>
      <w:r w:rsidRPr="00F90018">
        <w:t>April 21, 2015 (10:00 AM) – Understanding Reasonable Accommodation Process:  How to Increase Access to Housing for Consumers</w:t>
      </w:r>
      <w:r w:rsidR="00DA1DEE">
        <w:t>.</w:t>
      </w:r>
    </w:p>
    <w:p w:rsidR="00143BFF" w:rsidRPr="00F90018" w:rsidRDefault="00143BFF" w:rsidP="00C16A05">
      <w:pPr>
        <w:pStyle w:val="ListParagraph"/>
        <w:numPr>
          <w:ilvl w:val="1"/>
          <w:numId w:val="7"/>
        </w:numPr>
        <w:spacing w:after="0"/>
        <w:ind w:left="0"/>
      </w:pPr>
      <w:r w:rsidRPr="00F90018">
        <w:t>May 7, 2015 (10:00 AM) –– Moving from Institutions to Community Based Apartments – Supporting Consumers in New Settings</w:t>
      </w:r>
      <w:r w:rsidR="00DA1DEE">
        <w:t>.</w:t>
      </w:r>
    </w:p>
    <w:p w:rsidR="00143BFF" w:rsidRPr="00F90018" w:rsidRDefault="00143BFF" w:rsidP="00C16A05">
      <w:pPr>
        <w:pStyle w:val="ListParagraph"/>
        <w:numPr>
          <w:ilvl w:val="1"/>
          <w:numId w:val="7"/>
        </w:numPr>
        <w:spacing w:after="0"/>
        <w:ind w:left="0"/>
      </w:pPr>
      <w:r w:rsidRPr="00F90018">
        <w:t>May 19</w:t>
      </w:r>
      <w:r w:rsidRPr="00F90018">
        <w:rPr>
          <w:vertAlign w:val="superscript"/>
        </w:rPr>
        <w:t xml:space="preserve">, </w:t>
      </w:r>
      <w:r w:rsidRPr="00F90018">
        <w:t>2015 (10:00 AM)–Supporting Tenants Transitioning from Bridge to Other Subsidies</w:t>
      </w:r>
      <w:r w:rsidR="00DA1DEE">
        <w:t>.</w:t>
      </w:r>
    </w:p>
    <w:p w:rsidR="00143BFF" w:rsidRPr="00F90018" w:rsidRDefault="00143BFF" w:rsidP="00C16A05">
      <w:pPr>
        <w:pStyle w:val="ListParagraph"/>
        <w:numPr>
          <w:ilvl w:val="1"/>
          <w:numId w:val="7"/>
        </w:numPr>
        <w:spacing w:after="0"/>
        <w:ind w:left="0"/>
      </w:pPr>
      <w:r w:rsidRPr="00F90018">
        <w:t>June 4, 2015 (10:00 AM) – Promoting Community Integration</w:t>
      </w:r>
      <w:r w:rsidR="00DA1DEE">
        <w:t>.</w:t>
      </w:r>
    </w:p>
    <w:p w:rsidR="00143BFF" w:rsidRPr="00F90018" w:rsidRDefault="00143BFF" w:rsidP="00C16A05">
      <w:pPr>
        <w:pStyle w:val="ListParagraph"/>
        <w:numPr>
          <w:ilvl w:val="1"/>
          <w:numId w:val="7"/>
        </w:numPr>
        <w:spacing w:after="0"/>
        <w:ind w:left="0"/>
      </w:pPr>
      <w:r w:rsidRPr="00F90018">
        <w:t>June 16, 2015 (10:00 AM) – Coordinating with Landlords/Property Managers to Promote Housing Stability for Tenants</w:t>
      </w:r>
      <w:r w:rsidR="00DA1DEE">
        <w:t>.</w:t>
      </w:r>
    </w:p>
    <w:p w:rsidR="00143BFF" w:rsidRPr="00F90018" w:rsidRDefault="00143BFF" w:rsidP="00C16A05">
      <w:pPr>
        <w:spacing w:after="0"/>
      </w:pPr>
    </w:p>
    <w:p w:rsidR="00143BFF" w:rsidRPr="00F90018" w:rsidRDefault="00143BFF" w:rsidP="00C16A05">
      <w:pPr>
        <w:numPr>
          <w:ilvl w:val="0"/>
          <w:numId w:val="7"/>
        </w:numPr>
        <w:spacing w:after="0"/>
        <w:ind w:left="0"/>
      </w:pPr>
      <w:r w:rsidRPr="00F90018">
        <w:t>Landlord Trainings on Supportive Housing and Williams Consent Decree</w:t>
      </w:r>
    </w:p>
    <w:p w:rsidR="00143BFF" w:rsidRPr="00F90018" w:rsidRDefault="00143BFF" w:rsidP="00C16A05">
      <w:pPr>
        <w:spacing w:after="0"/>
      </w:pPr>
      <w:r w:rsidRPr="00F90018">
        <w:t xml:space="preserve">CSH works closely with the </w:t>
      </w:r>
      <w:r>
        <w:t>Statewide Housing Coordinator</w:t>
      </w:r>
      <w:r w:rsidRPr="00F90018">
        <w:t xml:space="preserve"> to deliver training presentations on the Williams Consent Decree and Bridge Subsidy directly to landlord groups. CSH delivered the following trainings to landlords:</w:t>
      </w:r>
    </w:p>
    <w:p w:rsidR="00143BFF" w:rsidRPr="00F90018" w:rsidRDefault="00143BFF" w:rsidP="00C16A05">
      <w:pPr>
        <w:numPr>
          <w:ilvl w:val="1"/>
          <w:numId w:val="7"/>
        </w:numPr>
        <w:spacing w:after="0"/>
        <w:ind w:left="0"/>
      </w:pPr>
      <w:r w:rsidRPr="00F90018">
        <w:t>Presented on Williams at the First  Incite Realty Group Landlord Association Meeting on Chicago’s South Side</w:t>
      </w:r>
      <w:r w:rsidR="00DA1DEE">
        <w:t>.</w:t>
      </w:r>
      <w:r w:rsidRPr="00F90018">
        <w:t xml:space="preserve"> </w:t>
      </w:r>
    </w:p>
    <w:p w:rsidR="00143BFF" w:rsidRPr="00F90018" w:rsidRDefault="00143BFF" w:rsidP="00C16A05">
      <w:pPr>
        <w:pStyle w:val="ListParagraph"/>
        <w:numPr>
          <w:ilvl w:val="1"/>
          <w:numId w:val="7"/>
        </w:numPr>
        <w:spacing w:after="0"/>
        <w:ind w:left="0"/>
      </w:pPr>
      <w:r>
        <w:t>Presentation in partnership with</w:t>
      </w:r>
      <w:r w:rsidRPr="00F90018">
        <w:t xml:space="preserve"> NAMI of Lake County on Housing Location and Olmstead</w:t>
      </w:r>
      <w:r w:rsidR="00DA1DEE">
        <w:t>.</w:t>
      </w:r>
      <w:r w:rsidRPr="00F90018">
        <w:t xml:space="preserve"> </w:t>
      </w:r>
    </w:p>
    <w:p w:rsidR="00610D9D" w:rsidRDefault="00610D9D" w:rsidP="00C16A05">
      <w:pPr>
        <w:pStyle w:val="ListParagraph"/>
        <w:spacing w:after="0"/>
        <w:ind w:left="0"/>
      </w:pPr>
    </w:p>
    <w:p w:rsidR="00143BFF" w:rsidRDefault="00143BFF" w:rsidP="00C16A05">
      <w:pPr>
        <w:pStyle w:val="ListParagraph"/>
        <w:numPr>
          <w:ilvl w:val="0"/>
          <w:numId w:val="7"/>
        </w:numPr>
        <w:spacing w:after="0"/>
        <w:ind w:left="0"/>
      </w:pPr>
      <w:r w:rsidRPr="00F90018">
        <w:t xml:space="preserve">CSH Supportive Housing Academy </w:t>
      </w:r>
    </w:p>
    <w:p w:rsidR="00143BFF" w:rsidRDefault="00143BFF" w:rsidP="00C16A05">
      <w:pPr>
        <w:pStyle w:val="ListParagraph"/>
        <w:spacing w:after="0"/>
        <w:ind w:left="0"/>
      </w:pPr>
      <w:r>
        <w:t>CSH delivered its annual Dimensions of Quality Supportive Housing Academy, a 3-day training event for existing and prospective housing partnerships. This event held April 14-16, 2015 in Chicago engaged 20 participants from Chicago, Cook County, Will County, and others who work even more regionally and include housing developers, realtors, and services providers. This includes DMH providers who are not yet delivering supportive housing under either consent decrees but that are visioning projects.</w:t>
      </w:r>
    </w:p>
    <w:p w:rsidR="00143BFF" w:rsidRPr="0016299C" w:rsidRDefault="00143BFF" w:rsidP="00C16A05">
      <w:pPr>
        <w:pStyle w:val="ListParagraph"/>
        <w:numPr>
          <w:ilvl w:val="0"/>
          <w:numId w:val="7"/>
        </w:numPr>
        <w:spacing w:after="0"/>
        <w:ind w:left="0"/>
        <w:rPr>
          <w:u w:val="single"/>
        </w:rPr>
      </w:pPr>
      <w:r w:rsidRPr="00F90018">
        <w:lastRenderedPageBreak/>
        <w:t>CSH Summit</w:t>
      </w:r>
    </w:p>
    <w:p w:rsidR="00143BFF" w:rsidRPr="001F393E" w:rsidRDefault="00143BFF" w:rsidP="00C16A05">
      <w:pPr>
        <w:pStyle w:val="ListParagraph"/>
        <w:spacing w:after="0"/>
        <w:ind w:left="0"/>
      </w:pPr>
      <w:r>
        <w:t xml:space="preserve">CSH held </w:t>
      </w:r>
      <w:r w:rsidR="005E147B">
        <w:t>its</w:t>
      </w:r>
      <w:r>
        <w:t xml:space="preserve"> first national Summit in Chicago May 11-13, 2015. The Summit attracted over 650 stakeholders and allies in the supportive housing movement from across the country. There were 9 different tracks offering 45 sessions as well as other networking and learning opportunities including three different site visit tours of Chicago supportive housing providers focused on harm reduction, family, and veteran housing. One of the tracks focused on Olmstead and what complying with Olmstead means for supportive housing and communities from policy to housing setting to services delivery capacity. One session provided a case study of Illinois’ efforts to implement Williams, Colbert, and Ligas Consent Decrees. This session featured Denny Jones, Williams and Colbert Court Monitor, Ben Wolf, ACLU, Lore Baker, Governor’s Office, and Ed Stellon, Heartland Health Outreach. Another session on creating the most integrated settings included IHDA Executive Director Mary Kenney and discussed housing model and unit integration as well as community integration and personal choice. </w:t>
      </w:r>
    </w:p>
    <w:p w:rsidR="00143BFF" w:rsidRPr="0016299C" w:rsidRDefault="00143BFF" w:rsidP="00C16A05">
      <w:pPr>
        <w:spacing w:after="0"/>
        <w:rPr>
          <w:u w:val="single"/>
        </w:rPr>
      </w:pPr>
    </w:p>
    <w:p w:rsidR="00143BFF" w:rsidRPr="00F90018" w:rsidRDefault="00143BFF" w:rsidP="00C16A05">
      <w:pPr>
        <w:spacing w:after="0"/>
        <w:rPr>
          <w:u w:val="single"/>
        </w:rPr>
      </w:pPr>
      <w:r w:rsidRPr="00F90018">
        <w:rPr>
          <w:u w:val="single"/>
        </w:rPr>
        <w:t>Implementation of Bridge Subsidy Program</w:t>
      </w:r>
    </w:p>
    <w:p w:rsidR="00143BFF" w:rsidRPr="00F90018" w:rsidRDefault="00143BFF" w:rsidP="00C16A05">
      <w:pPr>
        <w:numPr>
          <w:ilvl w:val="0"/>
          <w:numId w:val="7"/>
        </w:numPr>
        <w:spacing w:after="0"/>
        <w:ind w:left="0"/>
      </w:pPr>
      <w:r w:rsidRPr="00F90018">
        <w:t>DMH Bridge Online Data System</w:t>
      </w:r>
    </w:p>
    <w:p w:rsidR="00143BFF" w:rsidRPr="00F90018" w:rsidRDefault="00143BFF" w:rsidP="00C16A05">
      <w:pPr>
        <w:spacing w:after="0"/>
      </w:pPr>
      <w:r w:rsidRPr="00F90018">
        <w:t xml:space="preserve">CSH manages, completes data entry and administers an online data tracking system for transition agencies and subsidy administrators to enter housing placement and subsidy payment tracking for individuals receiving Bridge subsidies. CSH participated in conference calls with the Collaborative, Regional Housing Support Facilitator and Housing Coordinators.  CSH completed data reconciliation to have accurate records, and provided training to all users on new processes. </w:t>
      </w:r>
    </w:p>
    <w:p w:rsidR="00143BFF" w:rsidRPr="00F90018" w:rsidRDefault="00143BFF" w:rsidP="00C16A05">
      <w:pPr>
        <w:spacing w:after="0"/>
        <w:rPr>
          <w:u w:val="single"/>
        </w:rPr>
      </w:pPr>
      <w:r w:rsidRPr="00F90018">
        <w:rPr>
          <w:u w:val="single"/>
        </w:rPr>
        <w:t>Increasing Housing Availability</w:t>
      </w:r>
    </w:p>
    <w:p w:rsidR="00143BFF" w:rsidRDefault="00143BFF" w:rsidP="00C16A05">
      <w:pPr>
        <w:pStyle w:val="ListParagraph"/>
        <w:numPr>
          <w:ilvl w:val="0"/>
          <w:numId w:val="7"/>
        </w:numPr>
        <w:spacing w:after="0"/>
        <w:ind w:left="0"/>
      </w:pPr>
      <w:r w:rsidRPr="00F90018">
        <w:t xml:space="preserve">CSH </w:t>
      </w:r>
      <w:r>
        <w:t>completed</w:t>
      </w:r>
      <w:r w:rsidRPr="00F90018">
        <w:t xml:space="preserve"> six community profiles in locations that are near or similar to the “communities of preference” identified by Williams Class Members. The profiles </w:t>
      </w:r>
      <w:r>
        <w:t xml:space="preserve">were </w:t>
      </w:r>
      <w:r w:rsidRPr="00F90018">
        <w:t>buil</w:t>
      </w:r>
      <w:r>
        <w:t>t</w:t>
      </w:r>
      <w:r w:rsidRPr="00F90018">
        <w:t xml:space="preserve"> off of existing information from realtors and Chicago Rehab Network.</w:t>
      </w:r>
      <w:r>
        <w:t xml:space="preserve"> These communities were been identified because they have similarities to and/or are in close proximity to those saturated communities, which have a demand that meets available units.</w:t>
      </w:r>
    </w:p>
    <w:p w:rsidR="00143BFF" w:rsidRDefault="00143BFF" w:rsidP="00143BFF">
      <w:pPr>
        <w:jc w:val="center"/>
      </w:pPr>
    </w:p>
    <w:tbl>
      <w:tblPr>
        <w:tblStyle w:val="TableGrid"/>
        <w:tblW w:w="0" w:type="auto"/>
        <w:tblInd w:w="918" w:type="dxa"/>
        <w:tblLook w:val="04A0" w:firstRow="1" w:lastRow="0" w:firstColumn="1" w:lastColumn="0" w:noHBand="0" w:noVBand="1"/>
      </w:tblPr>
      <w:tblGrid>
        <w:gridCol w:w="3870"/>
        <w:gridCol w:w="3690"/>
      </w:tblGrid>
      <w:tr w:rsidR="00143BFF" w:rsidTr="00143BFF">
        <w:tc>
          <w:tcPr>
            <w:tcW w:w="3870" w:type="dxa"/>
          </w:tcPr>
          <w:p w:rsidR="00143BFF" w:rsidRPr="00143BFF" w:rsidRDefault="00143BFF" w:rsidP="00C16A05">
            <w:pPr>
              <w:jc w:val="center"/>
            </w:pPr>
            <w:r w:rsidRPr="00143BFF">
              <w:rPr>
                <w:b/>
              </w:rPr>
              <w:t>Saturated Community</w:t>
            </w:r>
          </w:p>
          <w:p w:rsidR="00143BFF" w:rsidRDefault="00143BFF" w:rsidP="00C16A05">
            <w:pPr>
              <w:jc w:val="center"/>
            </w:pPr>
          </w:p>
        </w:tc>
        <w:tc>
          <w:tcPr>
            <w:tcW w:w="3690" w:type="dxa"/>
          </w:tcPr>
          <w:p w:rsidR="00143BFF" w:rsidRPr="00143BFF" w:rsidRDefault="00143BFF" w:rsidP="00C16A05">
            <w:pPr>
              <w:jc w:val="center"/>
              <w:rPr>
                <w:b/>
              </w:rPr>
            </w:pPr>
            <w:r w:rsidRPr="00143BFF">
              <w:rPr>
                <w:b/>
              </w:rPr>
              <w:t>Similar Community</w:t>
            </w:r>
          </w:p>
          <w:p w:rsidR="00143BFF" w:rsidRDefault="00143BFF" w:rsidP="00C16A05">
            <w:pPr>
              <w:jc w:val="center"/>
            </w:pPr>
          </w:p>
        </w:tc>
      </w:tr>
      <w:tr w:rsidR="00143BFF" w:rsidTr="00143BFF">
        <w:tc>
          <w:tcPr>
            <w:tcW w:w="3870" w:type="dxa"/>
          </w:tcPr>
          <w:p w:rsidR="00143BFF" w:rsidRDefault="00143BFF" w:rsidP="00C16A05">
            <w:r>
              <w:t>Rogers Park</w:t>
            </w:r>
          </w:p>
          <w:p w:rsidR="00143BFF" w:rsidRDefault="00143BFF" w:rsidP="00C16A05"/>
        </w:tc>
        <w:tc>
          <w:tcPr>
            <w:tcW w:w="3690" w:type="dxa"/>
          </w:tcPr>
          <w:p w:rsidR="00143BFF" w:rsidRDefault="00143BFF" w:rsidP="00C16A05">
            <w:r>
              <w:t>Albany Park</w:t>
            </w:r>
          </w:p>
          <w:p w:rsidR="00143BFF" w:rsidRDefault="00143BFF" w:rsidP="00C16A05"/>
        </w:tc>
      </w:tr>
      <w:tr w:rsidR="00143BFF" w:rsidTr="00143BFF">
        <w:tc>
          <w:tcPr>
            <w:tcW w:w="3870" w:type="dxa"/>
          </w:tcPr>
          <w:p w:rsidR="00143BFF" w:rsidRDefault="00143BFF" w:rsidP="00C16A05">
            <w:r>
              <w:t>Hyde Park</w:t>
            </w:r>
          </w:p>
          <w:p w:rsidR="00143BFF" w:rsidRDefault="00143BFF" w:rsidP="00C16A05"/>
        </w:tc>
        <w:tc>
          <w:tcPr>
            <w:tcW w:w="3690" w:type="dxa"/>
          </w:tcPr>
          <w:p w:rsidR="00143BFF" w:rsidRDefault="00143BFF" w:rsidP="00C16A05">
            <w:r>
              <w:t>Grand Boulevard</w:t>
            </w:r>
          </w:p>
          <w:p w:rsidR="00143BFF" w:rsidRDefault="00143BFF" w:rsidP="00C16A05"/>
        </w:tc>
      </w:tr>
      <w:tr w:rsidR="00143BFF" w:rsidTr="00143BFF">
        <w:tc>
          <w:tcPr>
            <w:tcW w:w="3870" w:type="dxa"/>
          </w:tcPr>
          <w:p w:rsidR="00143BFF" w:rsidRDefault="00143BFF" w:rsidP="00C16A05">
            <w:r>
              <w:t>Near West Side</w:t>
            </w:r>
          </w:p>
          <w:p w:rsidR="00143BFF" w:rsidRDefault="00143BFF" w:rsidP="00C16A05"/>
        </w:tc>
        <w:tc>
          <w:tcPr>
            <w:tcW w:w="3690" w:type="dxa"/>
          </w:tcPr>
          <w:p w:rsidR="00143BFF" w:rsidRDefault="00143BFF" w:rsidP="00C16A05">
            <w:r>
              <w:t>West Ridge</w:t>
            </w:r>
          </w:p>
          <w:p w:rsidR="00143BFF" w:rsidRDefault="00143BFF" w:rsidP="00C16A05"/>
        </w:tc>
      </w:tr>
      <w:tr w:rsidR="00143BFF" w:rsidTr="00143BFF">
        <w:tc>
          <w:tcPr>
            <w:tcW w:w="3870" w:type="dxa"/>
          </w:tcPr>
          <w:p w:rsidR="00143BFF" w:rsidRDefault="00143BFF" w:rsidP="00C16A05">
            <w:r>
              <w:t>Edgewater</w:t>
            </w:r>
          </w:p>
          <w:p w:rsidR="00143BFF" w:rsidRDefault="00143BFF" w:rsidP="00C16A05"/>
        </w:tc>
        <w:tc>
          <w:tcPr>
            <w:tcW w:w="3690" w:type="dxa"/>
          </w:tcPr>
          <w:p w:rsidR="00143BFF" w:rsidRDefault="00143BFF" w:rsidP="00C16A05">
            <w:r>
              <w:t>Near North Side</w:t>
            </w:r>
          </w:p>
          <w:p w:rsidR="00143BFF" w:rsidRDefault="00143BFF" w:rsidP="00C16A05"/>
        </w:tc>
      </w:tr>
      <w:tr w:rsidR="00143BFF" w:rsidTr="00143BFF">
        <w:tc>
          <w:tcPr>
            <w:tcW w:w="3870" w:type="dxa"/>
          </w:tcPr>
          <w:p w:rsidR="00143BFF" w:rsidRDefault="00143BFF" w:rsidP="00C16A05">
            <w:r>
              <w:t>South Shore</w:t>
            </w:r>
          </w:p>
          <w:p w:rsidR="00143BFF" w:rsidRDefault="00143BFF" w:rsidP="00C16A05"/>
        </w:tc>
        <w:tc>
          <w:tcPr>
            <w:tcW w:w="3690" w:type="dxa"/>
          </w:tcPr>
          <w:p w:rsidR="00143BFF" w:rsidRDefault="00143BFF" w:rsidP="00C16A05">
            <w:r>
              <w:t>Avalon Park</w:t>
            </w:r>
          </w:p>
          <w:p w:rsidR="00143BFF" w:rsidRDefault="00143BFF" w:rsidP="00C16A05"/>
        </w:tc>
      </w:tr>
      <w:tr w:rsidR="00143BFF" w:rsidTr="00143BFF">
        <w:tc>
          <w:tcPr>
            <w:tcW w:w="3870" w:type="dxa"/>
          </w:tcPr>
          <w:p w:rsidR="00143BFF" w:rsidRPr="00143BFF" w:rsidRDefault="00143BFF" w:rsidP="00C16A05">
            <w:pPr>
              <w:rPr>
                <w:b/>
              </w:rPr>
            </w:pPr>
            <w:r>
              <w:t>West Town</w:t>
            </w:r>
          </w:p>
          <w:p w:rsidR="00143BFF" w:rsidRDefault="00143BFF" w:rsidP="00C16A05"/>
        </w:tc>
        <w:tc>
          <w:tcPr>
            <w:tcW w:w="3690" w:type="dxa"/>
          </w:tcPr>
          <w:p w:rsidR="00143BFF" w:rsidRPr="00F90018" w:rsidRDefault="00143BFF" w:rsidP="00C16A05">
            <w:r>
              <w:t>Logan Square</w:t>
            </w:r>
          </w:p>
          <w:p w:rsidR="00143BFF" w:rsidRDefault="00143BFF" w:rsidP="00C16A05"/>
        </w:tc>
      </w:tr>
    </w:tbl>
    <w:p w:rsidR="00143BFF" w:rsidRDefault="00143BFF" w:rsidP="00143BFF"/>
    <w:p w:rsidR="00143BFF" w:rsidRPr="00F90018" w:rsidRDefault="00143BFF" w:rsidP="0084202B">
      <w:pPr>
        <w:pStyle w:val="ListParagraph"/>
        <w:numPr>
          <w:ilvl w:val="0"/>
          <w:numId w:val="7"/>
        </w:numPr>
        <w:spacing w:after="0"/>
        <w:ind w:left="0"/>
      </w:pPr>
      <w:r w:rsidRPr="00F90018">
        <w:lastRenderedPageBreak/>
        <w:t>CSH create</w:t>
      </w:r>
      <w:r>
        <w:t>d</w:t>
      </w:r>
      <w:r w:rsidRPr="00F90018">
        <w:t xml:space="preserve"> project profiles of new d</w:t>
      </w:r>
      <w:r>
        <w:t xml:space="preserve">evelopments coming on-line or </w:t>
      </w:r>
      <w:r w:rsidRPr="00F90018">
        <w:t xml:space="preserve">are already in operation with resources targeted or available to Class Members, and </w:t>
      </w:r>
      <w:r>
        <w:t>are</w:t>
      </w:r>
      <w:r w:rsidRPr="00F90018">
        <w:t xml:space="preserve"> written in plain language to meet the literacy and informational needs of prospective tenants. Initial profiles are slated for Hope Springs in Springfield, The Landings of Villa Park, and Kimball Court Apartments in Homewood. All have Bridge </w:t>
      </w:r>
      <w:r w:rsidR="00DA1DEE">
        <w:t>S</w:t>
      </w:r>
      <w:r w:rsidRPr="00F90018">
        <w:t>ubsidy and participate in the State Referral Network.</w:t>
      </w:r>
    </w:p>
    <w:p w:rsidR="00143BFF" w:rsidRPr="00F90018" w:rsidRDefault="00143BFF" w:rsidP="0084202B">
      <w:pPr>
        <w:numPr>
          <w:ilvl w:val="0"/>
          <w:numId w:val="7"/>
        </w:numPr>
        <w:spacing w:after="0"/>
        <w:ind w:left="0"/>
      </w:pPr>
      <w:r w:rsidRPr="00F90018">
        <w:t>Housing Locator Conference Calls</w:t>
      </w:r>
    </w:p>
    <w:p w:rsidR="00143BFF" w:rsidRDefault="00143BFF" w:rsidP="0084202B">
      <w:pPr>
        <w:pStyle w:val="ListParagraph"/>
        <w:spacing w:after="0"/>
        <w:ind w:left="0"/>
      </w:pPr>
      <w:r w:rsidRPr="00F90018">
        <w:t xml:space="preserve">CSH participates in regular housing locator conference calls. The calls cover landlord outreach strategies and actively problem solve in real-time. </w:t>
      </w:r>
      <w:r>
        <w:t xml:space="preserve">In March, CSH provided additional information on </w:t>
      </w:r>
      <w:r w:rsidRPr="005C189E">
        <w:t>building the Class Members “portfolio”</w:t>
      </w:r>
      <w:r>
        <w:t xml:space="preserve"> to assist in competing for available units, such as: Letter of recommendation from the agency; Letter of explanation about the program, about supportive housing; Letter of support from a landlord you currently have a relationship with about the relationship with the service provider and/or being a landlord for a supportive housing tenant. CSH also offered support to housing locator staff on addressing </w:t>
      </w:r>
      <w:r w:rsidRPr="00F90018">
        <w:t>Class Member discrimination practices</w:t>
      </w:r>
      <w:r>
        <w:t>.</w:t>
      </w:r>
    </w:p>
    <w:p w:rsidR="00143BFF" w:rsidRPr="00F90018" w:rsidRDefault="00143BFF" w:rsidP="0084202B">
      <w:pPr>
        <w:pStyle w:val="ListParagraph"/>
        <w:spacing w:after="0"/>
        <w:ind w:left="0"/>
      </w:pPr>
    </w:p>
    <w:p w:rsidR="00143BFF" w:rsidRPr="00F90018" w:rsidRDefault="00143BFF" w:rsidP="0084202B">
      <w:pPr>
        <w:spacing w:after="0"/>
        <w:rPr>
          <w:u w:val="single"/>
        </w:rPr>
      </w:pPr>
      <w:r w:rsidRPr="00F90018">
        <w:rPr>
          <w:u w:val="single"/>
        </w:rPr>
        <w:t>Consumer Satisfaction with Housing and Improving Housing Assessment Process</w:t>
      </w:r>
    </w:p>
    <w:p w:rsidR="00143BFF" w:rsidRPr="00F90018" w:rsidRDefault="00143BFF" w:rsidP="0084202B">
      <w:pPr>
        <w:pStyle w:val="ListParagraph"/>
        <w:numPr>
          <w:ilvl w:val="0"/>
          <w:numId w:val="13"/>
        </w:numPr>
        <w:spacing w:after="0"/>
        <w:ind w:left="0"/>
      </w:pPr>
      <w:r w:rsidRPr="00F90018">
        <w:t>Consumer Satisfaction Survey FY15</w:t>
      </w:r>
    </w:p>
    <w:p w:rsidR="00143BFF" w:rsidRPr="00F90018" w:rsidRDefault="00143BFF" w:rsidP="0084202B">
      <w:pPr>
        <w:pStyle w:val="ListParagraph"/>
        <w:spacing w:after="0"/>
        <w:ind w:left="0"/>
      </w:pPr>
      <w:r w:rsidRPr="00F90018">
        <w:t xml:space="preserve">CSH conducted the </w:t>
      </w:r>
      <w:r>
        <w:t>second</w:t>
      </w:r>
      <w:r w:rsidRPr="00F90018">
        <w:t xml:space="preserve"> Consumer Satisfaction Survey for the participants of the Bridge Subsidy Program. </w:t>
      </w:r>
      <w:r>
        <w:t>This second survey was modified to focus only on housing-related questions and eliminated previous questions on services satisfaction and use of drop-in centers. The results will be published in a report that will be released by June 30, 2015.</w:t>
      </w:r>
      <w:r w:rsidRPr="00F90018">
        <w:t xml:space="preserve"> </w:t>
      </w:r>
    </w:p>
    <w:p w:rsidR="00143BFF" w:rsidRPr="00F90018" w:rsidRDefault="00143BFF" w:rsidP="0084202B">
      <w:pPr>
        <w:pStyle w:val="ListParagraph"/>
        <w:numPr>
          <w:ilvl w:val="0"/>
          <w:numId w:val="13"/>
        </w:numPr>
        <w:spacing w:after="0"/>
        <w:ind w:left="0"/>
      </w:pPr>
      <w:r w:rsidRPr="00F90018">
        <w:t>Consumer Housing Assessment</w:t>
      </w:r>
    </w:p>
    <w:p w:rsidR="004620A3" w:rsidRPr="00E31B79" w:rsidRDefault="00143BFF" w:rsidP="0084202B">
      <w:pPr>
        <w:pStyle w:val="ListParagraph"/>
        <w:spacing w:after="0"/>
        <w:ind w:left="0"/>
        <w:rPr>
          <w:rFonts w:ascii="Calibri" w:hAnsi="Calibri"/>
        </w:rPr>
      </w:pPr>
      <w:r>
        <w:t>During the course of Williams implementation, additional housing models beyond the scattered-site approach have been requested and allowed. It is recognized that in order to maximize the number of people exiting institutional care a greater range of supportive housing will be needed, and in some cases a more intensive approach to service is also needed beyond ACT or CST. CSH worked with Resident Reviewers and Transition agency staff to developer the Consumer Housing Assessment to gather the level of service intensity, additional service risks that are present that could lead to housing loss, and then a menu of supportive housing settings. Resident reviewers piloted the approved tool from March 17-April 16, 2015, and the results are being analyzed with a report for next steps.  The goal is to connect more Class Members with housing options and lessen the number of denials of transition if persons will not be successful in the scattered-site ACT model that is the primary option.</w:t>
      </w:r>
    </w:p>
    <w:p w:rsidR="00E31B79" w:rsidRPr="00E31B79" w:rsidRDefault="00E31B79" w:rsidP="00D026DB">
      <w:pPr>
        <w:ind w:left="180" w:hanging="180"/>
        <w:rPr>
          <w:rFonts w:ascii="Calibri" w:hAnsi="Calibri"/>
        </w:rPr>
      </w:pPr>
    </w:p>
    <w:p w:rsidR="00E31B79" w:rsidRPr="00D026DB" w:rsidRDefault="00E31B79" w:rsidP="00D026DB">
      <w:pPr>
        <w:ind w:left="180" w:hanging="180"/>
        <w:rPr>
          <w:rFonts w:ascii="Calibri" w:hAnsi="Calibri"/>
          <w:u w:val="single"/>
        </w:rPr>
      </w:pPr>
    </w:p>
    <w:p w:rsidR="00853878" w:rsidRPr="00B92AA5" w:rsidRDefault="00853878" w:rsidP="00853878">
      <w:pPr>
        <w:jc w:val="both"/>
        <w:rPr>
          <w:rFonts w:ascii="Calibri" w:hAnsi="Calibri"/>
          <w:u w:val="single"/>
        </w:rPr>
      </w:pPr>
    </w:p>
    <w:p w:rsidR="00EF519F" w:rsidRDefault="00EF519F">
      <w:r>
        <w:br w:type="page"/>
      </w:r>
    </w:p>
    <w:p w:rsidR="00EF519F" w:rsidRDefault="00EF519F" w:rsidP="00EF519F">
      <w:pPr>
        <w:jc w:val="center"/>
        <w:rPr>
          <w:b/>
          <w:sz w:val="24"/>
          <w:szCs w:val="24"/>
        </w:rPr>
      </w:pPr>
      <w:r w:rsidRPr="00D525B9">
        <w:rPr>
          <w:b/>
          <w:sz w:val="24"/>
          <w:szCs w:val="24"/>
        </w:rPr>
        <w:lastRenderedPageBreak/>
        <w:t>REPORTABLE INCIDENTS</w:t>
      </w:r>
      <w:r w:rsidRPr="00331333">
        <w:rPr>
          <w:b/>
          <w:sz w:val="24"/>
          <w:szCs w:val="24"/>
        </w:rPr>
        <w:t xml:space="preserve"> </w:t>
      </w:r>
    </w:p>
    <w:p w:rsidR="008D47C2" w:rsidRDefault="008D47C2" w:rsidP="00EF519F">
      <w:pPr>
        <w:jc w:val="center"/>
        <w:rPr>
          <w:sz w:val="24"/>
          <w:szCs w:val="24"/>
        </w:rPr>
      </w:pPr>
      <w:r>
        <w:rPr>
          <w:b/>
          <w:sz w:val="24"/>
          <w:szCs w:val="24"/>
          <w:u w:val="thick"/>
        </w:rPr>
        <w:t>____________________________________________________</w:t>
      </w:r>
    </w:p>
    <w:p w:rsidR="00114B5F" w:rsidRDefault="00610D9D" w:rsidP="00613E0A">
      <w:pPr>
        <w:spacing w:after="0"/>
      </w:pPr>
      <w:r w:rsidRPr="00610D9D">
        <w:t>The</w:t>
      </w:r>
      <w:r w:rsidR="00114B5F" w:rsidRPr="00610D9D">
        <w:t xml:space="preserve"> incident reporting process </w:t>
      </w:r>
      <w:r w:rsidRPr="00610D9D">
        <w:t xml:space="preserve">is categorized </w:t>
      </w:r>
      <w:r w:rsidR="00114B5F" w:rsidRPr="00610D9D">
        <w:t xml:space="preserve">into </w:t>
      </w:r>
      <w:r w:rsidRPr="00610D9D">
        <w:t xml:space="preserve">the </w:t>
      </w:r>
      <w:r w:rsidR="00114B5F" w:rsidRPr="00610D9D">
        <w:t xml:space="preserve">three distinct levels </w:t>
      </w:r>
      <w:r>
        <w:t>as follows</w:t>
      </w:r>
      <w:r w:rsidR="00114B5F" w:rsidRPr="00610D9D">
        <w:t>:</w:t>
      </w:r>
      <w:r w:rsidR="00114B5F" w:rsidRPr="00E85989">
        <w:t xml:space="preserve"> </w:t>
      </w:r>
    </w:p>
    <w:p w:rsidR="00613E0A" w:rsidRPr="00E85989" w:rsidRDefault="00613E0A" w:rsidP="00613E0A">
      <w:pPr>
        <w:spacing w:after="0"/>
      </w:pPr>
    </w:p>
    <w:p w:rsidR="001713C2" w:rsidRDefault="001713C2" w:rsidP="00613E0A">
      <w:pPr>
        <w:spacing w:after="0"/>
      </w:pPr>
      <w:r w:rsidRPr="00677AF1">
        <w:rPr>
          <w:b/>
        </w:rPr>
        <w:t>Level I – Urgent; Critical Incidents</w:t>
      </w:r>
      <w:r>
        <w:t>:  Situations or outcomes that result in adverse occurrences impacting life, wellness and safety.</w:t>
      </w:r>
    </w:p>
    <w:p w:rsidR="00613E0A" w:rsidRDefault="00613E0A" w:rsidP="00613E0A">
      <w:pPr>
        <w:spacing w:after="0"/>
      </w:pPr>
    </w:p>
    <w:p w:rsidR="001713C2" w:rsidRDefault="001713C2" w:rsidP="00613E0A">
      <w:pPr>
        <w:spacing w:after="0"/>
      </w:pPr>
      <w:r w:rsidRPr="00677AF1">
        <w:rPr>
          <w:b/>
        </w:rPr>
        <w:t>Level II - Serious Reportable Incidents</w:t>
      </w:r>
      <w:r>
        <w:t>:  Situations or outcomes that could have implications affecting physical, emotional or environmental health, wellbeing and community stability.</w:t>
      </w:r>
    </w:p>
    <w:p w:rsidR="00613E0A" w:rsidRDefault="00613E0A" w:rsidP="00613E0A">
      <w:pPr>
        <w:spacing w:after="0"/>
      </w:pPr>
    </w:p>
    <w:p w:rsidR="001713C2" w:rsidRDefault="001713C2" w:rsidP="00613E0A">
      <w:pPr>
        <w:spacing w:after="0"/>
      </w:pPr>
      <w:r w:rsidRPr="00677AF1">
        <w:rPr>
          <w:b/>
        </w:rPr>
        <w:t>Level III – Significant Reportable Incidents</w:t>
      </w:r>
      <w:r>
        <w:t>:  Situations or occurrences that could possibly disrupt community tenure.</w:t>
      </w:r>
    </w:p>
    <w:p w:rsidR="00613E0A" w:rsidRDefault="00613E0A" w:rsidP="00613E0A">
      <w:pPr>
        <w:spacing w:after="0"/>
      </w:pPr>
    </w:p>
    <w:p w:rsidR="00E85989" w:rsidRDefault="00E85989" w:rsidP="00613E0A">
      <w:pPr>
        <w:spacing w:after="0"/>
      </w:pPr>
      <w:r>
        <w:t xml:space="preserve">For the reporting period </w:t>
      </w:r>
      <w:r w:rsidR="00003D76">
        <w:t>December 1, 2014 to May 6, 2015</w:t>
      </w:r>
      <w:r>
        <w:t xml:space="preserve"> the total </w:t>
      </w:r>
      <w:r w:rsidR="00E142B6">
        <w:t>number of reportable incidents (385) was</w:t>
      </w:r>
      <w:r>
        <w:t xml:space="preserve"> categorized as follows.</w:t>
      </w:r>
    </w:p>
    <w:p w:rsidR="006610F3" w:rsidRDefault="006610F3" w:rsidP="00613E0A">
      <w:pPr>
        <w:spacing w:after="0"/>
      </w:pPr>
    </w:p>
    <w:p w:rsidR="00E85989" w:rsidRPr="00E85989" w:rsidRDefault="00E85989" w:rsidP="00613E0A">
      <w:pPr>
        <w:spacing w:after="0" w:line="240" w:lineRule="auto"/>
        <w:jc w:val="both"/>
      </w:pPr>
      <w:r w:rsidRPr="00E85989">
        <w:rPr>
          <w:b/>
        </w:rPr>
        <w:t>Level I:</w:t>
      </w:r>
      <w:r w:rsidRPr="00E85989">
        <w:rPr>
          <w:b/>
        </w:rPr>
        <w:tab/>
      </w:r>
      <w:r w:rsidRPr="00E85989">
        <w:tab/>
      </w:r>
      <w:r w:rsidR="00003D76">
        <w:t>29</w:t>
      </w:r>
      <w:r w:rsidR="00003D76">
        <w:tab/>
        <w:t>7.1%</w:t>
      </w:r>
    </w:p>
    <w:p w:rsidR="00E85989" w:rsidRPr="00E85989" w:rsidRDefault="00E85989" w:rsidP="00613E0A">
      <w:pPr>
        <w:spacing w:after="0" w:line="240" w:lineRule="auto"/>
        <w:jc w:val="both"/>
      </w:pPr>
      <w:r w:rsidRPr="00E85989">
        <w:rPr>
          <w:b/>
        </w:rPr>
        <w:t>Level II</w:t>
      </w:r>
      <w:r w:rsidRPr="00E85989">
        <w:t>:</w:t>
      </w:r>
      <w:r w:rsidRPr="00E85989">
        <w:tab/>
      </w:r>
      <w:r w:rsidRPr="00E85989">
        <w:tab/>
      </w:r>
      <w:r w:rsidR="00003D76">
        <w:t>347</w:t>
      </w:r>
      <w:r w:rsidR="00003D76">
        <w:tab/>
        <w:t>85.3%</w:t>
      </w:r>
    </w:p>
    <w:p w:rsidR="00E85989" w:rsidRDefault="00E85989" w:rsidP="00613E0A">
      <w:pPr>
        <w:spacing w:after="0"/>
      </w:pPr>
      <w:r w:rsidRPr="00E85989">
        <w:rPr>
          <w:b/>
        </w:rPr>
        <w:t>Level III:</w:t>
      </w:r>
      <w:r w:rsidRPr="00E85989">
        <w:tab/>
      </w:r>
      <w:r w:rsidR="00003D76">
        <w:t>31</w:t>
      </w:r>
      <w:r w:rsidRPr="00E85989">
        <w:tab/>
      </w:r>
      <w:r w:rsidR="00003D76">
        <w:t>7.6%</w:t>
      </w:r>
      <w:r w:rsidRPr="00E85989">
        <w:t xml:space="preserve">  </w:t>
      </w:r>
    </w:p>
    <w:p w:rsidR="007A343A" w:rsidRPr="00E85989" w:rsidRDefault="007A343A" w:rsidP="00613E0A">
      <w:pPr>
        <w:spacing w:after="0"/>
      </w:pPr>
    </w:p>
    <w:p w:rsidR="00531175" w:rsidRDefault="00114B5F" w:rsidP="00613E0A">
      <w:pPr>
        <w:spacing w:after="0"/>
      </w:pPr>
      <w:r w:rsidRPr="00800947">
        <w:t>Data compiled b</w:t>
      </w:r>
      <w:r w:rsidR="00B73137" w:rsidRPr="00800947">
        <w:t xml:space="preserve">etween </w:t>
      </w:r>
      <w:r w:rsidR="00F346F2">
        <w:t>December 1, 2014 and May 6, 2015</w:t>
      </w:r>
      <w:r w:rsidR="00E50A6E" w:rsidRPr="00800947">
        <w:t xml:space="preserve">, </w:t>
      </w:r>
      <w:r w:rsidRPr="00800947">
        <w:t xml:space="preserve">reflects that </w:t>
      </w:r>
      <w:r w:rsidR="00F346F2">
        <w:t>226</w:t>
      </w:r>
      <w:r w:rsidR="00B73137" w:rsidRPr="00800947">
        <w:t xml:space="preserve"> </w:t>
      </w:r>
      <w:r w:rsidR="00944086">
        <w:t>Class Members</w:t>
      </w:r>
      <w:r w:rsidR="00B73137" w:rsidRPr="00800947">
        <w:t xml:space="preserve"> account</w:t>
      </w:r>
      <w:r w:rsidR="00A94D66" w:rsidRPr="00800947">
        <w:t>ed</w:t>
      </w:r>
      <w:r w:rsidR="00B73137" w:rsidRPr="00800947">
        <w:t xml:space="preserve"> for </w:t>
      </w:r>
      <w:r w:rsidR="0068652B" w:rsidRPr="00800947">
        <w:t xml:space="preserve">a total of </w:t>
      </w:r>
      <w:r w:rsidR="00F346F2">
        <w:t>407</w:t>
      </w:r>
      <w:r w:rsidR="00B73137" w:rsidRPr="00800947">
        <w:t xml:space="preserve"> reportable incidents.  </w:t>
      </w:r>
      <w:r w:rsidR="007363F2">
        <w:t>One hundred</w:t>
      </w:r>
      <w:r w:rsidR="00B350D2" w:rsidRPr="00800947">
        <w:t xml:space="preserve"> (</w:t>
      </w:r>
      <w:r w:rsidR="007363F2">
        <w:t>100</w:t>
      </w:r>
      <w:r w:rsidR="00B350D2" w:rsidRPr="00800947">
        <w:t xml:space="preserve">) </w:t>
      </w:r>
      <w:r w:rsidR="00944086">
        <w:t>Class Members</w:t>
      </w:r>
      <w:r w:rsidR="00B73137" w:rsidRPr="00800947">
        <w:t xml:space="preserve"> accounted for two (2) or more Reportable Incidents. </w:t>
      </w:r>
      <w:r w:rsidR="00531175" w:rsidRPr="00800947">
        <w:t xml:space="preserve">During this reporting period </w:t>
      </w:r>
      <w:r w:rsidR="005E147B">
        <w:t>three</w:t>
      </w:r>
      <w:r w:rsidR="007E7CAF">
        <w:t xml:space="preserve"> (3)</w:t>
      </w:r>
      <w:r w:rsidR="00531175" w:rsidRPr="00E14674">
        <w:t xml:space="preserve"> death</w:t>
      </w:r>
      <w:r w:rsidR="00E14674" w:rsidRPr="00E14674">
        <w:t>s</w:t>
      </w:r>
      <w:r w:rsidR="00531175" w:rsidRPr="00E14674">
        <w:t xml:space="preserve"> </w:t>
      </w:r>
      <w:r w:rsidR="00BD1598">
        <w:t xml:space="preserve">were </w:t>
      </w:r>
      <w:r w:rsidR="00531175" w:rsidRPr="00E14674">
        <w:t>reported.</w:t>
      </w:r>
      <w:r w:rsidR="00531175" w:rsidRPr="00800947">
        <w:t xml:space="preserve">  A Root Cause Analysis</w:t>
      </w:r>
      <w:r w:rsidR="005F1FB1" w:rsidRPr="00800947">
        <w:t xml:space="preserve"> was</w:t>
      </w:r>
      <w:r w:rsidR="005E147B">
        <w:t xml:space="preserve"> completed on </w:t>
      </w:r>
      <w:r w:rsidR="00BD1598">
        <w:t xml:space="preserve">each of </w:t>
      </w:r>
      <w:r w:rsidR="005E147B">
        <w:t>these</w:t>
      </w:r>
      <w:r w:rsidR="00531175" w:rsidRPr="00800947">
        <w:t xml:space="preserve"> death</w:t>
      </w:r>
      <w:r w:rsidR="005E147B">
        <w:t>s and no</w:t>
      </w:r>
      <w:r w:rsidR="00F82FCB" w:rsidRPr="00800947">
        <w:t xml:space="preserve"> autops</w:t>
      </w:r>
      <w:r w:rsidR="005E147B">
        <w:t xml:space="preserve">ies were </w:t>
      </w:r>
      <w:r w:rsidR="00F82FCB" w:rsidRPr="00800947">
        <w:t>requested.</w:t>
      </w:r>
    </w:p>
    <w:p w:rsidR="007A343A" w:rsidRPr="00800947" w:rsidRDefault="007A343A" w:rsidP="00613E0A">
      <w:pPr>
        <w:spacing w:after="0"/>
      </w:pPr>
    </w:p>
    <w:p w:rsidR="00B73137" w:rsidRDefault="00B73137" w:rsidP="00613E0A">
      <w:pPr>
        <w:spacing w:after="0"/>
        <w:jc w:val="both"/>
      </w:pPr>
      <w:r w:rsidRPr="00800947">
        <w:t xml:space="preserve"> The</w:t>
      </w:r>
      <w:r>
        <w:t xml:space="preserve"> below table shows the distribution: </w:t>
      </w:r>
    </w:p>
    <w:p w:rsidR="00613E0A" w:rsidRPr="005F1FB1" w:rsidRDefault="00613E0A" w:rsidP="00613E0A">
      <w:pPr>
        <w:spacing w:after="0"/>
        <w:jc w:val="both"/>
        <w:rPr>
          <w:color w:val="FF0000"/>
        </w:rPr>
      </w:pPr>
    </w:p>
    <w:tbl>
      <w:tblPr>
        <w:tblStyle w:val="TableGrid"/>
        <w:tblW w:w="0" w:type="auto"/>
        <w:tblInd w:w="1188" w:type="dxa"/>
        <w:tblLook w:val="04A0" w:firstRow="1" w:lastRow="0" w:firstColumn="1" w:lastColumn="0" w:noHBand="0" w:noVBand="1"/>
      </w:tblPr>
      <w:tblGrid>
        <w:gridCol w:w="1680"/>
        <w:gridCol w:w="1614"/>
        <w:gridCol w:w="1614"/>
        <w:gridCol w:w="1635"/>
      </w:tblGrid>
      <w:tr w:rsidR="00E50A6E" w:rsidTr="00ED3137">
        <w:trPr>
          <w:tblHeader/>
        </w:trPr>
        <w:tc>
          <w:tcPr>
            <w:tcW w:w="1680" w:type="dxa"/>
            <w:shd w:val="clear" w:color="auto" w:fill="D9D9D9" w:themeFill="background1" w:themeFillShade="D9"/>
          </w:tcPr>
          <w:p w:rsidR="00E50A6E" w:rsidRDefault="00E50A6E" w:rsidP="00A94D66">
            <w:pPr>
              <w:jc w:val="center"/>
            </w:pPr>
            <w:r>
              <w:t>Unduplicated Count of CMs</w:t>
            </w:r>
          </w:p>
        </w:tc>
        <w:tc>
          <w:tcPr>
            <w:tcW w:w="1614" w:type="dxa"/>
            <w:shd w:val="clear" w:color="auto" w:fill="D9D9D9" w:themeFill="background1" w:themeFillShade="D9"/>
          </w:tcPr>
          <w:p w:rsidR="00E50A6E" w:rsidRDefault="00E50A6E" w:rsidP="00E50A6E">
            <w:pPr>
              <w:jc w:val="center"/>
            </w:pPr>
            <w:r>
              <w:t># Incidents</w:t>
            </w:r>
          </w:p>
        </w:tc>
        <w:tc>
          <w:tcPr>
            <w:tcW w:w="1614" w:type="dxa"/>
            <w:shd w:val="clear" w:color="auto" w:fill="D9D9D9" w:themeFill="background1" w:themeFillShade="D9"/>
          </w:tcPr>
          <w:p w:rsidR="00E50A6E" w:rsidRDefault="00E50A6E" w:rsidP="00A94D66">
            <w:pPr>
              <w:jc w:val="center"/>
            </w:pPr>
            <w:r>
              <w:t>Total Incidents</w:t>
            </w:r>
          </w:p>
        </w:tc>
        <w:tc>
          <w:tcPr>
            <w:tcW w:w="1635" w:type="dxa"/>
            <w:shd w:val="clear" w:color="auto" w:fill="D9D9D9" w:themeFill="background1" w:themeFillShade="D9"/>
          </w:tcPr>
          <w:p w:rsidR="00E50A6E" w:rsidRDefault="00E50A6E" w:rsidP="00A94D66">
            <w:pPr>
              <w:jc w:val="center"/>
            </w:pPr>
            <w:r>
              <w:t>Percentage</w:t>
            </w:r>
          </w:p>
        </w:tc>
      </w:tr>
      <w:tr w:rsidR="00E50A6E" w:rsidTr="00E50A6E">
        <w:tc>
          <w:tcPr>
            <w:tcW w:w="1680" w:type="dxa"/>
          </w:tcPr>
          <w:p w:rsidR="00E50A6E" w:rsidRDefault="007363F2" w:rsidP="007363F2">
            <w:pPr>
              <w:jc w:val="center"/>
            </w:pPr>
            <w:r>
              <w:t>126</w:t>
            </w:r>
          </w:p>
        </w:tc>
        <w:tc>
          <w:tcPr>
            <w:tcW w:w="1614" w:type="dxa"/>
          </w:tcPr>
          <w:p w:rsidR="00E50A6E" w:rsidRDefault="00E50A6E" w:rsidP="00E50A6E">
            <w:pPr>
              <w:jc w:val="center"/>
            </w:pPr>
            <w:r>
              <w:t>1</w:t>
            </w:r>
          </w:p>
        </w:tc>
        <w:tc>
          <w:tcPr>
            <w:tcW w:w="1614" w:type="dxa"/>
          </w:tcPr>
          <w:p w:rsidR="00E50A6E" w:rsidRDefault="007363F2" w:rsidP="00A94D66">
            <w:pPr>
              <w:jc w:val="center"/>
            </w:pPr>
            <w:r>
              <w:t>126</w:t>
            </w:r>
          </w:p>
        </w:tc>
        <w:tc>
          <w:tcPr>
            <w:tcW w:w="1635" w:type="dxa"/>
          </w:tcPr>
          <w:p w:rsidR="00E50A6E" w:rsidRDefault="007363F2" w:rsidP="00A94D66">
            <w:pPr>
              <w:jc w:val="center"/>
            </w:pPr>
            <w:r>
              <w:t>30.96</w:t>
            </w:r>
          </w:p>
        </w:tc>
      </w:tr>
      <w:tr w:rsidR="00E50A6E" w:rsidTr="00E50A6E">
        <w:tc>
          <w:tcPr>
            <w:tcW w:w="1680" w:type="dxa"/>
          </w:tcPr>
          <w:p w:rsidR="00E50A6E" w:rsidRDefault="007363F2" w:rsidP="00A94D66">
            <w:pPr>
              <w:jc w:val="center"/>
            </w:pPr>
            <w:r>
              <w:t>61</w:t>
            </w:r>
          </w:p>
        </w:tc>
        <w:tc>
          <w:tcPr>
            <w:tcW w:w="1614" w:type="dxa"/>
          </w:tcPr>
          <w:p w:rsidR="00E50A6E" w:rsidRDefault="00E50A6E" w:rsidP="00E50A6E">
            <w:pPr>
              <w:jc w:val="center"/>
            </w:pPr>
            <w:r>
              <w:t>2</w:t>
            </w:r>
          </w:p>
        </w:tc>
        <w:tc>
          <w:tcPr>
            <w:tcW w:w="1614" w:type="dxa"/>
          </w:tcPr>
          <w:p w:rsidR="00E50A6E" w:rsidRDefault="007363F2" w:rsidP="00E24B0A">
            <w:pPr>
              <w:jc w:val="center"/>
            </w:pPr>
            <w:r>
              <w:t>122</w:t>
            </w:r>
          </w:p>
        </w:tc>
        <w:tc>
          <w:tcPr>
            <w:tcW w:w="1635" w:type="dxa"/>
          </w:tcPr>
          <w:p w:rsidR="00E50A6E" w:rsidRDefault="007363F2" w:rsidP="00A94D66">
            <w:pPr>
              <w:jc w:val="center"/>
            </w:pPr>
            <w:r>
              <w:t>29.98</w:t>
            </w:r>
          </w:p>
        </w:tc>
      </w:tr>
      <w:tr w:rsidR="00E50A6E" w:rsidTr="00E50A6E">
        <w:tc>
          <w:tcPr>
            <w:tcW w:w="1680" w:type="dxa"/>
          </w:tcPr>
          <w:p w:rsidR="00E50A6E" w:rsidRDefault="007363F2" w:rsidP="00A94D66">
            <w:pPr>
              <w:jc w:val="center"/>
            </w:pPr>
            <w:r>
              <w:t>19</w:t>
            </w:r>
          </w:p>
        </w:tc>
        <w:tc>
          <w:tcPr>
            <w:tcW w:w="1614" w:type="dxa"/>
          </w:tcPr>
          <w:p w:rsidR="00E50A6E" w:rsidRDefault="00E50A6E" w:rsidP="00E50A6E">
            <w:pPr>
              <w:jc w:val="center"/>
            </w:pPr>
            <w:r>
              <w:t>3</w:t>
            </w:r>
          </w:p>
        </w:tc>
        <w:tc>
          <w:tcPr>
            <w:tcW w:w="1614" w:type="dxa"/>
          </w:tcPr>
          <w:p w:rsidR="00E50A6E" w:rsidRDefault="007363F2" w:rsidP="00A94D66">
            <w:pPr>
              <w:jc w:val="center"/>
            </w:pPr>
            <w:r>
              <w:t>57</w:t>
            </w:r>
          </w:p>
        </w:tc>
        <w:tc>
          <w:tcPr>
            <w:tcW w:w="1635" w:type="dxa"/>
          </w:tcPr>
          <w:p w:rsidR="00E50A6E" w:rsidRDefault="007363F2" w:rsidP="00A94D66">
            <w:pPr>
              <w:jc w:val="center"/>
            </w:pPr>
            <w:r>
              <w:t>14.00</w:t>
            </w:r>
          </w:p>
        </w:tc>
      </w:tr>
      <w:tr w:rsidR="00E50A6E" w:rsidTr="00E50A6E">
        <w:tc>
          <w:tcPr>
            <w:tcW w:w="1680" w:type="dxa"/>
          </w:tcPr>
          <w:p w:rsidR="00E50A6E" w:rsidRDefault="007363F2" w:rsidP="00A94D66">
            <w:pPr>
              <w:jc w:val="center"/>
            </w:pPr>
            <w:r>
              <w:t>10</w:t>
            </w:r>
          </w:p>
        </w:tc>
        <w:tc>
          <w:tcPr>
            <w:tcW w:w="1614" w:type="dxa"/>
          </w:tcPr>
          <w:p w:rsidR="00E50A6E" w:rsidRDefault="00E50A6E" w:rsidP="00E50A6E">
            <w:pPr>
              <w:jc w:val="center"/>
            </w:pPr>
            <w:r>
              <w:t>4</w:t>
            </w:r>
          </w:p>
        </w:tc>
        <w:tc>
          <w:tcPr>
            <w:tcW w:w="1614" w:type="dxa"/>
          </w:tcPr>
          <w:p w:rsidR="00E50A6E" w:rsidRDefault="007363F2" w:rsidP="00A94D66">
            <w:pPr>
              <w:jc w:val="center"/>
            </w:pPr>
            <w:r>
              <w:t>40</w:t>
            </w:r>
          </w:p>
        </w:tc>
        <w:tc>
          <w:tcPr>
            <w:tcW w:w="1635" w:type="dxa"/>
          </w:tcPr>
          <w:p w:rsidR="00E50A6E" w:rsidRDefault="007363F2" w:rsidP="00A94D66">
            <w:pPr>
              <w:jc w:val="center"/>
            </w:pPr>
            <w:r>
              <w:t>9.83</w:t>
            </w:r>
          </w:p>
        </w:tc>
      </w:tr>
      <w:tr w:rsidR="00E50A6E" w:rsidTr="00E50A6E">
        <w:tc>
          <w:tcPr>
            <w:tcW w:w="1680" w:type="dxa"/>
          </w:tcPr>
          <w:p w:rsidR="00E50A6E" w:rsidRDefault="007363F2" w:rsidP="00A94D66">
            <w:pPr>
              <w:jc w:val="center"/>
            </w:pPr>
            <w:r>
              <w:t>3</w:t>
            </w:r>
          </w:p>
        </w:tc>
        <w:tc>
          <w:tcPr>
            <w:tcW w:w="1614" w:type="dxa"/>
          </w:tcPr>
          <w:p w:rsidR="00E50A6E" w:rsidRDefault="00E50A6E" w:rsidP="00E50A6E">
            <w:pPr>
              <w:jc w:val="center"/>
            </w:pPr>
            <w:r>
              <w:t>5</w:t>
            </w:r>
          </w:p>
        </w:tc>
        <w:tc>
          <w:tcPr>
            <w:tcW w:w="1614" w:type="dxa"/>
          </w:tcPr>
          <w:p w:rsidR="00E50A6E" w:rsidRDefault="007363F2" w:rsidP="00A94D66">
            <w:pPr>
              <w:jc w:val="center"/>
            </w:pPr>
            <w:r>
              <w:t>1</w:t>
            </w:r>
            <w:r w:rsidR="00E50A6E">
              <w:t>5</w:t>
            </w:r>
          </w:p>
        </w:tc>
        <w:tc>
          <w:tcPr>
            <w:tcW w:w="1635" w:type="dxa"/>
          </w:tcPr>
          <w:p w:rsidR="00E50A6E" w:rsidRDefault="007363F2" w:rsidP="00A94D66">
            <w:pPr>
              <w:jc w:val="center"/>
            </w:pPr>
            <w:r>
              <w:t>3.69</w:t>
            </w:r>
          </w:p>
        </w:tc>
      </w:tr>
      <w:tr w:rsidR="00E50A6E" w:rsidTr="00E50A6E">
        <w:tc>
          <w:tcPr>
            <w:tcW w:w="1680" w:type="dxa"/>
          </w:tcPr>
          <w:p w:rsidR="00E50A6E" w:rsidRDefault="0068652B" w:rsidP="00A94D66">
            <w:pPr>
              <w:jc w:val="center"/>
            </w:pPr>
            <w:r>
              <w:t>3</w:t>
            </w:r>
          </w:p>
        </w:tc>
        <w:tc>
          <w:tcPr>
            <w:tcW w:w="1614" w:type="dxa"/>
          </w:tcPr>
          <w:p w:rsidR="00E50A6E" w:rsidRDefault="00E50A6E" w:rsidP="00E50A6E">
            <w:pPr>
              <w:jc w:val="center"/>
            </w:pPr>
            <w:r>
              <w:t>6</w:t>
            </w:r>
          </w:p>
        </w:tc>
        <w:tc>
          <w:tcPr>
            <w:tcW w:w="1614" w:type="dxa"/>
          </w:tcPr>
          <w:p w:rsidR="00E50A6E" w:rsidRDefault="00E50A6E" w:rsidP="00A94D66">
            <w:pPr>
              <w:jc w:val="center"/>
            </w:pPr>
            <w:r>
              <w:t>1</w:t>
            </w:r>
            <w:r w:rsidR="0068652B">
              <w:t>8</w:t>
            </w:r>
          </w:p>
        </w:tc>
        <w:tc>
          <w:tcPr>
            <w:tcW w:w="1635" w:type="dxa"/>
          </w:tcPr>
          <w:p w:rsidR="00E50A6E" w:rsidRDefault="007363F2" w:rsidP="00A94D66">
            <w:pPr>
              <w:jc w:val="center"/>
            </w:pPr>
            <w:r>
              <w:t>4.42</w:t>
            </w:r>
          </w:p>
        </w:tc>
      </w:tr>
      <w:tr w:rsidR="00E50A6E" w:rsidTr="00E50A6E">
        <w:tc>
          <w:tcPr>
            <w:tcW w:w="1680" w:type="dxa"/>
          </w:tcPr>
          <w:p w:rsidR="00E50A6E" w:rsidRDefault="007363F2" w:rsidP="00A94D66">
            <w:pPr>
              <w:jc w:val="center"/>
            </w:pPr>
            <w:r>
              <w:t>3</w:t>
            </w:r>
          </w:p>
        </w:tc>
        <w:tc>
          <w:tcPr>
            <w:tcW w:w="1614" w:type="dxa"/>
          </w:tcPr>
          <w:p w:rsidR="00E50A6E" w:rsidRDefault="00E50A6E" w:rsidP="00E50A6E">
            <w:pPr>
              <w:jc w:val="center"/>
            </w:pPr>
            <w:r>
              <w:t>7</w:t>
            </w:r>
          </w:p>
        </w:tc>
        <w:tc>
          <w:tcPr>
            <w:tcW w:w="1614" w:type="dxa"/>
          </w:tcPr>
          <w:p w:rsidR="00E50A6E" w:rsidRDefault="007363F2" w:rsidP="00A94D66">
            <w:pPr>
              <w:jc w:val="center"/>
            </w:pPr>
            <w:r>
              <w:t>21</w:t>
            </w:r>
          </w:p>
        </w:tc>
        <w:tc>
          <w:tcPr>
            <w:tcW w:w="1635" w:type="dxa"/>
          </w:tcPr>
          <w:p w:rsidR="00E50A6E" w:rsidRDefault="007363F2" w:rsidP="00A94D66">
            <w:pPr>
              <w:jc w:val="center"/>
            </w:pPr>
            <w:r>
              <w:t>5.16</w:t>
            </w:r>
          </w:p>
        </w:tc>
      </w:tr>
      <w:tr w:rsidR="00E50A6E" w:rsidTr="00E50A6E">
        <w:tc>
          <w:tcPr>
            <w:tcW w:w="1680" w:type="dxa"/>
          </w:tcPr>
          <w:p w:rsidR="00E50A6E" w:rsidRDefault="00E50A6E" w:rsidP="00A94D66">
            <w:pPr>
              <w:jc w:val="center"/>
            </w:pPr>
            <w:r>
              <w:t>1</w:t>
            </w:r>
          </w:p>
        </w:tc>
        <w:tc>
          <w:tcPr>
            <w:tcW w:w="1614" w:type="dxa"/>
          </w:tcPr>
          <w:p w:rsidR="00E50A6E" w:rsidRDefault="007363F2" w:rsidP="007363F2">
            <w:pPr>
              <w:jc w:val="center"/>
            </w:pPr>
            <w:r>
              <w:t>8</w:t>
            </w:r>
          </w:p>
        </w:tc>
        <w:tc>
          <w:tcPr>
            <w:tcW w:w="1614" w:type="dxa"/>
          </w:tcPr>
          <w:p w:rsidR="00E50A6E" w:rsidRDefault="007363F2" w:rsidP="00A94D66">
            <w:pPr>
              <w:jc w:val="center"/>
            </w:pPr>
            <w:r>
              <w:t>8</w:t>
            </w:r>
          </w:p>
        </w:tc>
        <w:tc>
          <w:tcPr>
            <w:tcW w:w="1635" w:type="dxa"/>
          </w:tcPr>
          <w:p w:rsidR="00E50A6E" w:rsidRPr="004326CD" w:rsidRDefault="007363F2" w:rsidP="00A94D66">
            <w:pPr>
              <w:jc w:val="center"/>
            </w:pPr>
            <w:r>
              <w:t>1.97</w:t>
            </w:r>
          </w:p>
        </w:tc>
      </w:tr>
      <w:tr w:rsidR="00E50A6E" w:rsidTr="00CB2E4C">
        <w:tc>
          <w:tcPr>
            <w:tcW w:w="1680" w:type="dxa"/>
            <w:shd w:val="clear" w:color="auto" w:fill="D9D9D9" w:themeFill="background1" w:themeFillShade="D9"/>
          </w:tcPr>
          <w:p w:rsidR="00E50A6E" w:rsidRDefault="0068652B" w:rsidP="00A94D66">
            <w:pPr>
              <w:jc w:val="center"/>
            </w:pPr>
            <w:r>
              <w:t>2</w:t>
            </w:r>
            <w:r w:rsidR="007363F2">
              <w:t>26</w:t>
            </w:r>
          </w:p>
        </w:tc>
        <w:tc>
          <w:tcPr>
            <w:tcW w:w="1614" w:type="dxa"/>
            <w:shd w:val="clear" w:color="auto" w:fill="D9D9D9" w:themeFill="background1" w:themeFillShade="D9"/>
          </w:tcPr>
          <w:p w:rsidR="00E50A6E" w:rsidRDefault="00E50A6E" w:rsidP="00E50A6E">
            <w:pPr>
              <w:jc w:val="center"/>
            </w:pPr>
          </w:p>
        </w:tc>
        <w:tc>
          <w:tcPr>
            <w:tcW w:w="1614" w:type="dxa"/>
            <w:shd w:val="clear" w:color="auto" w:fill="D9D9D9" w:themeFill="background1" w:themeFillShade="D9"/>
          </w:tcPr>
          <w:p w:rsidR="00E50A6E" w:rsidRPr="004326CD" w:rsidRDefault="00E142B6" w:rsidP="00A94D66">
            <w:pPr>
              <w:jc w:val="center"/>
            </w:pPr>
            <w:r>
              <w:t>407</w:t>
            </w:r>
          </w:p>
        </w:tc>
        <w:tc>
          <w:tcPr>
            <w:tcW w:w="1635" w:type="dxa"/>
            <w:shd w:val="clear" w:color="auto" w:fill="D9D9D9" w:themeFill="background1" w:themeFillShade="D9"/>
          </w:tcPr>
          <w:p w:rsidR="00E50A6E" w:rsidRPr="004326CD" w:rsidRDefault="00E50A6E" w:rsidP="00A94D66">
            <w:pPr>
              <w:jc w:val="center"/>
            </w:pPr>
          </w:p>
        </w:tc>
      </w:tr>
    </w:tbl>
    <w:p w:rsidR="00B73137" w:rsidRDefault="00B73137" w:rsidP="00B73137">
      <w:pPr>
        <w:jc w:val="center"/>
        <w:rPr>
          <w:b/>
        </w:rPr>
      </w:pPr>
    </w:p>
    <w:p w:rsidR="00D663A4" w:rsidRDefault="005F1FB1" w:rsidP="00CB2DB4">
      <w:pPr>
        <w:spacing w:after="0"/>
      </w:pPr>
      <w:r w:rsidRPr="00D525B9">
        <w:t xml:space="preserve">The Division of Mental Health is in discussion with the University of Illinois, School of Nursing to conduct Mortality Reviews for the Williams level I Reportable Incidents that result in a death.  The School of </w:t>
      </w:r>
      <w:r w:rsidRPr="00D525B9">
        <w:lastRenderedPageBreak/>
        <w:t>Nursing has also agreed to conduct retrospective reviews of the previous deaths, since inception.  DMH is finalizing necessary paperwork and will work with the Department on Aging (Colbert) and Healthcare and Family Services (MFP) to</w:t>
      </w:r>
      <w:r w:rsidR="00863C55" w:rsidRPr="00D525B9">
        <w:t xml:space="preserve"> determine</w:t>
      </w:r>
      <w:r w:rsidRPr="00D525B9">
        <w:t xml:space="preserve"> the contracting mechanism with the University.</w:t>
      </w:r>
    </w:p>
    <w:p w:rsidR="00D663A4" w:rsidRDefault="00D663A4" w:rsidP="00CB2DB4">
      <w:pPr>
        <w:spacing w:after="0"/>
      </w:pPr>
    </w:p>
    <w:p w:rsidR="0014572B" w:rsidRDefault="0014572B" w:rsidP="00CB2DB4">
      <w:pPr>
        <w:spacing w:after="0"/>
      </w:pPr>
    </w:p>
    <w:p w:rsidR="00E87390" w:rsidRDefault="002D0CBF" w:rsidP="00DF205D">
      <w:pPr>
        <w:jc w:val="center"/>
        <w:rPr>
          <w:b/>
          <w:sz w:val="24"/>
          <w:szCs w:val="24"/>
        </w:rPr>
      </w:pPr>
      <w:r w:rsidRPr="00674325">
        <w:rPr>
          <w:b/>
          <w:sz w:val="24"/>
          <w:szCs w:val="24"/>
        </w:rPr>
        <w:t>QUALITY MANAGEMENT/</w:t>
      </w:r>
      <w:r w:rsidR="00DF205D" w:rsidRPr="00674325">
        <w:rPr>
          <w:b/>
          <w:sz w:val="24"/>
          <w:szCs w:val="24"/>
        </w:rPr>
        <w:t>QUALITY MONITORING</w:t>
      </w:r>
    </w:p>
    <w:p w:rsidR="00326C48" w:rsidRPr="00E87390" w:rsidRDefault="00E87390" w:rsidP="00DF205D">
      <w:pPr>
        <w:jc w:val="center"/>
        <w:rPr>
          <w:sz w:val="24"/>
          <w:szCs w:val="24"/>
        </w:rPr>
      </w:pPr>
      <w:r>
        <w:rPr>
          <w:b/>
          <w:sz w:val="24"/>
          <w:szCs w:val="24"/>
          <w:u w:val="thick"/>
        </w:rPr>
        <w:t>____________________________________________________</w:t>
      </w:r>
    </w:p>
    <w:p w:rsidR="0014572B" w:rsidRDefault="0014572B" w:rsidP="000518BE">
      <w:pPr>
        <w:spacing w:after="120"/>
        <w:rPr>
          <w:b/>
        </w:rPr>
      </w:pPr>
    </w:p>
    <w:p w:rsidR="000518BE" w:rsidRDefault="000518BE" w:rsidP="000518BE">
      <w:pPr>
        <w:spacing w:after="120"/>
        <w:rPr>
          <w:b/>
        </w:rPr>
      </w:pPr>
      <w:r>
        <w:rPr>
          <w:b/>
        </w:rPr>
        <w:t>Quality Monitoring</w:t>
      </w:r>
    </w:p>
    <w:p w:rsidR="000518BE" w:rsidRDefault="007A5A9F" w:rsidP="000518BE">
      <w:pPr>
        <w:spacing w:after="0"/>
      </w:pPr>
      <w:r>
        <w:t xml:space="preserve">The staffing and operations of the Quality Management unit has been consistent since the last reporting. </w:t>
      </w:r>
      <w:r w:rsidR="000352EF">
        <w:t xml:space="preserve"> </w:t>
      </w:r>
      <w:r>
        <w:t>E</w:t>
      </w:r>
      <w:r w:rsidR="000518BE">
        <w:t xml:space="preserve">ight quality monitors </w:t>
      </w:r>
      <w:r>
        <w:t xml:space="preserve">continue to cover the </w:t>
      </w:r>
      <w:r w:rsidR="000518BE">
        <w:t xml:space="preserve">Chicago </w:t>
      </w:r>
      <w:r>
        <w:t xml:space="preserve">metro and surrounding </w:t>
      </w:r>
      <w:r w:rsidR="000518BE">
        <w:t>area</w:t>
      </w:r>
      <w:r>
        <w:t>s</w:t>
      </w:r>
      <w:r w:rsidR="000518BE">
        <w:t xml:space="preserve"> and two quality monitors housed in Pekin Illinois </w:t>
      </w:r>
      <w:r>
        <w:t xml:space="preserve">continue to cover </w:t>
      </w:r>
      <w:r w:rsidR="000518BE">
        <w:t xml:space="preserve">Peoria, Decatur and </w:t>
      </w:r>
      <w:r>
        <w:t>s</w:t>
      </w:r>
      <w:r w:rsidR="000518BE">
        <w:t xml:space="preserve">urrounding areas.  </w:t>
      </w:r>
    </w:p>
    <w:p w:rsidR="000518BE" w:rsidRDefault="000518BE" w:rsidP="000518BE">
      <w:pPr>
        <w:spacing w:after="0"/>
      </w:pPr>
    </w:p>
    <w:p w:rsidR="000518BE" w:rsidRDefault="000518BE" w:rsidP="000518BE">
      <w:pPr>
        <w:spacing w:after="0"/>
      </w:pPr>
      <w:r>
        <w:t xml:space="preserve">The quality monitors </w:t>
      </w:r>
      <w:r w:rsidR="007C00ED">
        <w:t xml:space="preserve">fulfill </w:t>
      </w:r>
      <w:r>
        <w:t xml:space="preserve">their monitoring duties </w:t>
      </w:r>
      <w:r w:rsidR="007C00ED">
        <w:t>by:</w:t>
      </w:r>
      <w:r>
        <w:t xml:space="preserve"> 1) completing reviews of comprehensive Service Plans for each Williams Class Member assigned to a community a agency for which transition services have occurred,  2) conducting in-home Quality Monitoring visits to assigned Class Member</w:t>
      </w:r>
      <w:r w:rsidR="00737AD3" w:rsidRPr="00737AD3">
        <w:t xml:space="preserve"> </w:t>
      </w:r>
      <w:r w:rsidR="00737AD3">
        <w:t xml:space="preserve">at 30 days, 3 months, </w:t>
      </w:r>
      <w:r w:rsidR="00DA1DEE">
        <w:t>6</w:t>
      </w:r>
      <w:r w:rsidR="00737AD3">
        <w:t xml:space="preserve"> months, </w:t>
      </w:r>
      <w:r w:rsidR="00DA1DEE">
        <w:t>12</w:t>
      </w:r>
      <w:r w:rsidR="00737AD3">
        <w:t xml:space="preserve"> months, and </w:t>
      </w:r>
      <w:r w:rsidR="00DA1DEE">
        <w:t>18</w:t>
      </w:r>
      <w:r w:rsidR="00737AD3">
        <w:t xml:space="preserve"> months post transition</w:t>
      </w:r>
      <w:r>
        <w:t xml:space="preserve">,  3) completing Quality of Life </w:t>
      </w:r>
      <w:r w:rsidR="007C00ED">
        <w:t>S</w:t>
      </w:r>
      <w:r>
        <w:t>urveys on Class Members who have moved to the  community, and  4) identify  gaps in services and support for Class Members and report findings back to the Williams Quality Administrators, Associate Deputy Director of Transition Coordination and the Quality Monitor Supervisor.</w:t>
      </w:r>
    </w:p>
    <w:p w:rsidR="000518BE" w:rsidRDefault="000518BE" w:rsidP="000518BE">
      <w:pPr>
        <w:spacing w:after="0"/>
      </w:pPr>
    </w:p>
    <w:p w:rsidR="000518BE" w:rsidRDefault="000518BE" w:rsidP="000518BE">
      <w:pPr>
        <w:spacing w:after="0"/>
      </w:pPr>
      <w:r>
        <w:t xml:space="preserve">When class members have had to return to the </w:t>
      </w:r>
      <w:r w:rsidR="00877256">
        <w:t>IMD</w:t>
      </w:r>
      <w:r>
        <w:t>, the information gathered by the Quality Monitors from the agency allows them to objectively look at reasons for the class member</w:t>
      </w:r>
      <w:r w:rsidR="00877256">
        <w:t>’</w:t>
      </w:r>
      <w:r>
        <w:t>s</w:t>
      </w:r>
      <w:r w:rsidR="00877256">
        <w:t xml:space="preserve"> </w:t>
      </w:r>
      <w:r w:rsidR="004167A5">
        <w:t>return</w:t>
      </w:r>
      <w:r w:rsidR="00DA1DEE">
        <w:t xml:space="preserve">. </w:t>
      </w:r>
      <w:r w:rsidR="004167A5">
        <w:t xml:space="preserve"> When</w:t>
      </w:r>
      <w:r>
        <w:t xml:space="preserve"> </w:t>
      </w:r>
      <w:r w:rsidR="00CD49C2">
        <w:t>C</w:t>
      </w:r>
      <w:r>
        <w:t xml:space="preserve">lass </w:t>
      </w:r>
      <w:r w:rsidR="00CD49C2">
        <w:t>M</w:t>
      </w:r>
      <w:r>
        <w:t xml:space="preserve">embers have </w:t>
      </w:r>
      <w:r w:rsidR="000F5D8A">
        <w:t xml:space="preserve">subsequently </w:t>
      </w:r>
      <w:r>
        <w:t>returned to the community after stabilization the Quality Monitors resume the monitoring schedule</w:t>
      </w:r>
      <w:r w:rsidR="00244F78">
        <w:t>.</w:t>
      </w:r>
      <w:r>
        <w:t xml:space="preserve">  </w:t>
      </w:r>
    </w:p>
    <w:p w:rsidR="000518BE" w:rsidRDefault="000518BE" w:rsidP="000518BE">
      <w:pPr>
        <w:spacing w:after="0"/>
      </w:pPr>
    </w:p>
    <w:p w:rsidR="000518BE" w:rsidRDefault="000518BE" w:rsidP="000518BE">
      <w:pPr>
        <w:spacing w:after="0"/>
      </w:pPr>
      <w:r>
        <w:t xml:space="preserve">There </w:t>
      </w:r>
      <w:r w:rsidR="00925DA2">
        <w:t xml:space="preserve">continues to be </w:t>
      </w:r>
      <w:r>
        <w:t>an increasing number of Class Members that are “aging out” of the monitoring process.  After the 18</w:t>
      </w:r>
      <w:r w:rsidRPr="00FB6F3D">
        <w:rPr>
          <w:vertAlign w:val="superscript"/>
        </w:rPr>
        <w:t>th</w:t>
      </w:r>
      <w:r>
        <w:t xml:space="preserve"> month</w:t>
      </w:r>
      <w:r w:rsidR="00CD49C2">
        <w:t xml:space="preserve"> </w:t>
      </w:r>
      <w:r>
        <w:t>visit the monitor</w:t>
      </w:r>
      <w:r w:rsidR="00CD49C2">
        <w:t>’</w:t>
      </w:r>
      <w:r>
        <w:t>s interaction with the Class Member end</w:t>
      </w:r>
      <w:r w:rsidR="00CD49C2">
        <w:t>s</w:t>
      </w:r>
      <w:r>
        <w:t xml:space="preserve">.  In some instances a monitor may feel that unresolved issues call for an extended monitoring period.  In such cases, a request to extend the monitoring visits is submitted to the Associate Deputy Director of Transition Coordination.  If approved, the </w:t>
      </w:r>
      <w:r w:rsidRPr="008062E6">
        <w:t xml:space="preserve">Associate Deputy Director of Transition Coordination </w:t>
      </w:r>
      <w:r>
        <w:t xml:space="preserve">and the monitor agree on the timing of the next visit. </w:t>
      </w:r>
    </w:p>
    <w:p w:rsidR="000518BE" w:rsidRDefault="000518BE" w:rsidP="000518BE">
      <w:pPr>
        <w:spacing w:after="0"/>
      </w:pPr>
    </w:p>
    <w:p w:rsidR="000518BE" w:rsidRDefault="000518BE" w:rsidP="000518BE">
      <w:pPr>
        <w:spacing w:after="0"/>
      </w:pPr>
      <w:r>
        <w:t xml:space="preserve">The feedback that DMH receives from the Quality of Life Surveys conducted by the Quality Monitors is critical. Quality Monitors provide another level of support which then validates the inclusion of wrap around services for Class Members living in the community.  The feedback </w:t>
      </w:r>
      <w:r w:rsidR="000F5D8A">
        <w:t xml:space="preserve">also provides a barometer of </w:t>
      </w:r>
      <w:r>
        <w:t>the care and ser</w:t>
      </w:r>
      <w:r w:rsidR="000F5D8A">
        <w:t xml:space="preserve">vices received by Class Members </w:t>
      </w:r>
      <w:r>
        <w:t xml:space="preserve">as well as their wellness and quality of life in the </w:t>
      </w:r>
      <w:r w:rsidRPr="00E92420">
        <w:t>community</w:t>
      </w:r>
      <w:r w:rsidRPr="00846970">
        <w:t xml:space="preserve">.   </w:t>
      </w:r>
      <w:r>
        <w:t xml:space="preserve">During this reporting period </w:t>
      </w:r>
      <w:r w:rsidRPr="00846970">
        <w:t>the Williams Quality Monitors completed</w:t>
      </w:r>
      <w:r>
        <w:t xml:space="preserve"> </w:t>
      </w:r>
      <w:r w:rsidRPr="00846970">
        <w:t>sixty</w:t>
      </w:r>
      <w:r>
        <w:t>-</w:t>
      </w:r>
      <w:r w:rsidRPr="00846970">
        <w:t>se</w:t>
      </w:r>
      <w:r>
        <w:t>ven (67) 6 month surveys, fifty-three</w:t>
      </w:r>
      <w:r w:rsidRPr="00846970">
        <w:t xml:space="preserve"> (</w:t>
      </w:r>
      <w:r>
        <w:t>53</w:t>
      </w:r>
      <w:r w:rsidRPr="00846970">
        <w:t>) 12 month su</w:t>
      </w:r>
      <w:r>
        <w:t>rveys and seventy-three (73</w:t>
      </w:r>
      <w:r w:rsidRPr="00846970">
        <w:t>) 18 month surveys.</w:t>
      </w:r>
      <w:r>
        <w:t xml:space="preserve"> </w:t>
      </w:r>
      <w:r w:rsidR="00737AD3">
        <w:t xml:space="preserve"> </w:t>
      </w:r>
    </w:p>
    <w:p w:rsidR="0062176D" w:rsidRPr="0027437C" w:rsidRDefault="00AB61F4" w:rsidP="00650C67">
      <w:pPr>
        <w:spacing w:after="0"/>
        <w:jc w:val="center"/>
        <w:rPr>
          <w:b/>
          <w:sz w:val="24"/>
          <w:szCs w:val="24"/>
        </w:rPr>
      </w:pPr>
      <w:r>
        <w:br w:type="page"/>
      </w:r>
      <w:r w:rsidR="0062176D" w:rsidRPr="00DE7ED4">
        <w:rPr>
          <w:b/>
          <w:sz w:val="24"/>
          <w:szCs w:val="24"/>
        </w:rPr>
        <w:lastRenderedPageBreak/>
        <w:t>BUDGET</w:t>
      </w:r>
    </w:p>
    <w:p w:rsidR="0062176D" w:rsidRPr="00EC6D97" w:rsidRDefault="00EC6D97" w:rsidP="00650C67">
      <w:pPr>
        <w:spacing w:after="0"/>
        <w:jc w:val="center"/>
        <w:rPr>
          <w:u w:val="thick"/>
        </w:rPr>
      </w:pPr>
      <w:r>
        <w:rPr>
          <w:u w:val="thick"/>
        </w:rPr>
        <w:t>______________________________________________________</w:t>
      </w:r>
    </w:p>
    <w:p w:rsidR="007C2EB2" w:rsidRPr="002B5B65" w:rsidRDefault="007C2EB2" w:rsidP="00650C67">
      <w:pPr>
        <w:spacing w:after="0"/>
        <w:jc w:val="center"/>
      </w:pPr>
    </w:p>
    <w:p w:rsidR="002240F0" w:rsidRDefault="002240F0" w:rsidP="002A550E">
      <w:pPr>
        <w:pStyle w:val="PlainText"/>
        <w:spacing w:line="276" w:lineRule="auto"/>
        <w:jc w:val="both"/>
        <w:rPr>
          <w:rFonts w:asciiTheme="minorHAnsi" w:hAnsiTheme="minorHAnsi"/>
          <w:sz w:val="22"/>
          <w:szCs w:val="22"/>
        </w:rPr>
      </w:pPr>
      <w:r>
        <w:rPr>
          <w:rFonts w:asciiTheme="minorHAnsi" w:hAnsiTheme="minorHAnsi"/>
          <w:sz w:val="22"/>
          <w:szCs w:val="22"/>
        </w:rPr>
        <w:t xml:space="preserve">In FY15 the Illinois General Assembly appropriated </w:t>
      </w:r>
      <w:r w:rsidRPr="006D201A">
        <w:rPr>
          <w:rFonts w:asciiTheme="minorHAnsi" w:hAnsiTheme="minorHAnsi"/>
          <w:sz w:val="22"/>
          <w:szCs w:val="22"/>
        </w:rPr>
        <w:t xml:space="preserve">$35.5 million in General Revenue Funds and </w:t>
      </w:r>
      <w:r>
        <w:rPr>
          <w:rFonts w:asciiTheme="minorHAnsi" w:hAnsiTheme="minorHAnsi"/>
          <w:sz w:val="22"/>
          <w:szCs w:val="22"/>
        </w:rPr>
        <w:t>carried forward $6</w:t>
      </w:r>
      <w:r w:rsidRPr="006D201A">
        <w:rPr>
          <w:rFonts w:asciiTheme="minorHAnsi" w:hAnsiTheme="minorHAnsi"/>
          <w:sz w:val="22"/>
          <w:szCs w:val="22"/>
        </w:rPr>
        <w:t xml:space="preserve"> million in Special State funds</w:t>
      </w:r>
      <w:r>
        <w:rPr>
          <w:rFonts w:asciiTheme="minorHAnsi" w:hAnsiTheme="minorHAnsi"/>
          <w:sz w:val="22"/>
          <w:szCs w:val="22"/>
        </w:rPr>
        <w:t xml:space="preserve"> for rebalancing efforts related to the Implementation Plan.  Expenditures thru April 30</w:t>
      </w:r>
      <w:r w:rsidRPr="00DA7BD9">
        <w:rPr>
          <w:rFonts w:asciiTheme="minorHAnsi" w:hAnsiTheme="minorHAnsi"/>
          <w:sz w:val="22"/>
          <w:szCs w:val="22"/>
        </w:rPr>
        <w:t>, 201</w:t>
      </w:r>
      <w:r>
        <w:rPr>
          <w:rFonts w:asciiTheme="minorHAnsi" w:hAnsiTheme="minorHAnsi"/>
          <w:sz w:val="22"/>
          <w:szCs w:val="22"/>
        </w:rPr>
        <w:t>5</w:t>
      </w:r>
      <w:r w:rsidRPr="00DA7BD9">
        <w:rPr>
          <w:rFonts w:asciiTheme="minorHAnsi" w:hAnsiTheme="minorHAnsi"/>
          <w:sz w:val="22"/>
          <w:szCs w:val="22"/>
        </w:rPr>
        <w:t xml:space="preserve"> include $3 million</w:t>
      </w:r>
      <w:r>
        <w:rPr>
          <w:rFonts w:asciiTheme="minorHAnsi" w:hAnsiTheme="minorHAnsi"/>
          <w:sz w:val="22"/>
          <w:szCs w:val="22"/>
        </w:rPr>
        <w:t xml:space="preserve"> for administrative and operational expenses as well as $17.7 million in grant funded services.  In addition, </w:t>
      </w:r>
      <w:r w:rsidRPr="00F4031B">
        <w:rPr>
          <w:rFonts w:asciiTheme="minorHAnsi" w:hAnsiTheme="minorHAnsi"/>
          <w:sz w:val="22"/>
          <w:szCs w:val="22"/>
        </w:rPr>
        <w:t>$4.4 million</w:t>
      </w:r>
      <w:r>
        <w:rPr>
          <w:rFonts w:asciiTheme="minorHAnsi" w:hAnsiTheme="minorHAnsi"/>
          <w:sz w:val="22"/>
          <w:szCs w:val="22"/>
        </w:rPr>
        <w:t xml:space="preserve"> has been expended for Medicaid services to Class Members.  By the end of FY15 it is estimated that spending will total approximately $29.3 million with the balance of the GRF appropriation to be spent on Medicaid services.</w:t>
      </w:r>
    </w:p>
    <w:p w:rsidR="002240F0" w:rsidRDefault="002240F0" w:rsidP="002A550E">
      <w:pPr>
        <w:pStyle w:val="PlainText"/>
        <w:spacing w:line="276" w:lineRule="auto"/>
        <w:jc w:val="both"/>
        <w:rPr>
          <w:rFonts w:asciiTheme="minorHAnsi" w:hAnsiTheme="minorHAnsi"/>
          <w:sz w:val="22"/>
          <w:szCs w:val="22"/>
        </w:rPr>
      </w:pPr>
    </w:p>
    <w:p w:rsidR="002E5E2A" w:rsidRDefault="002240F0" w:rsidP="00841730">
      <w:pPr>
        <w:pStyle w:val="PlainText"/>
        <w:spacing w:line="276" w:lineRule="auto"/>
        <w:jc w:val="both"/>
        <w:rPr>
          <w:rFonts w:asciiTheme="minorHAnsi" w:hAnsiTheme="minorHAnsi"/>
          <w:sz w:val="22"/>
          <w:szCs w:val="22"/>
        </w:rPr>
      </w:pPr>
      <w:r>
        <w:rPr>
          <w:rFonts w:asciiTheme="minorHAnsi" w:hAnsiTheme="minorHAnsi"/>
          <w:sz w:val="22"/>
          <w:szCs w:val="22"/>
        </w:rPr>
        <w:t xml:space="preserve">The Governor’s current proposed FY16 for budget for the Division of Mental Health includes </w:t>
      </w:r>
      <w:r w:rsidRPr="00F52E90">
        <w:rPr>
          <w:rFonts w:asciiTheme="minorHAnsi" w:hAnsiTheme="minorHAnsi"/>
          <w:sz w:val="22"/>
          <w:szCs w:val="22"/>
        </w:rPr>
        <w:t>$57.9</w:t>
      </w:r>
      <w:r>
        <w:rPr>
          <w:rFonts w:asciiTheme="minorHAnsi" w:hAnsiTheme="minorHAnsi"/>
          <w:sz w:val="22"/>
          <w:szCs w:val="22"/>
        </w:rPr>
        <w:t xml:space="preserve"> million in General Revenue Funds dedicated to expanding home and community-based services, and other transitional assistance costs associated with the consent decree implementation.   </w:t>
      </w:r>
    </w:p>
    <w:p w:rsidR="00841730" w:rsidRDefault="00841730" w:rsidP="00841730">
      <w:pPr>
        <w:pStyle w:val="PlainText"/>
        <w:spacing w:line="276" w:lineRule="auto"/>
        <w:jc w:val="both"/>
        <w:rPr>
          <w:rFonts w:asciiTheme="minorHAnsi" w:hAnsiTheme="minorHAnsi"/>
          <w:sz w:val="22"/>
          <w:szCs w:val="22"/>
        </w:rPr>
      </w:pPr>
    </w:p>
    <w:p w:rsidR="00841730" w:rsidRDefault="00841730" w:rsidP="00841730">
      <w:pPr>
        <w:pStyle w:val="PlainText"/>
        <w:spacing w:line="276" w:lineRule="auto"/>
        <w:jc w:val="both"/>
        <w:rPr>
          <w:rFonts w:asciiTheme="minorHAnsi" w:hAnsiTheme="minorHAnsi"/>
          <w:sz w:val="22"/>
          <w:szCs w:val="22"/>
        </w:rPr>
      </w:pPr>
    </w:p>
    <w:p w:rsidR="00841730" w:rsidRDefault="00841730" w:rsidP="00841730">
      <w:pPr>
        <w:pStyle w:val="PlainText"/>
        <w:spacing w:line="276" w:lineRule="auto"/>
        <w:jc w:val="both"/>
        <w:rPr>
          <w:rFonts w:asciiTheme="minorHAnsi" w:hAnsiTheme="minorHAnsi"/>
          <w:sz w:val="22"/>
          <w:szCs w:val="22"/>
        </w:rPr>
      </w:pPr>
    </w:p>
    <w:p w:rsidR="00841730" w:rsidRDefault="00841730" w:rsidP="00841730">
      <w:pPr>
        <w:pStyle w:val="PlainText"/>
        <w:spacing w:line="276" w:lineRule="auto"/>
        <w:jc w:val="both"/>
        <w:rPr>
          <w:rFonts w:asciiTheme="minorHAnsi" w:hAnsiTheme="minorHAnsi"/>
          <w:sz w:val="22"/>
          <w:szCs w:val="22"/>
        </w:rPr>
      </w:pPr>
    </w:p>
    <w:p w:rsidR="002E5E2A" w:rsidRPr="001232A0" w:rsidRDefault="005B4AF3" w:rsidP="002E5E2A">
      <w:pPr>
        <w:spacing w:after="0"/>
        <w:jc w:val="center"/>
        <w:rPr>
          <w:b/>
          <w:sz w:val="24"/>
          <w:szCs w:val="24"/>
        </w:rPr>
      </w:pPr>
      <w:r w:rsidRPr="001232A0">
        <w:rPr>
          <w:b/>
          <w:sz w:val="24"/>
          <w:szCs w:val="24"/>
        </w:rPr>
        <w:t xml:space="preserve">CALLS, COMPLAINTS, GRIEVANCES, </w:t>
      </w:r>
      <w:r w:rsidR="008E0CCC">
        <w:rPr>
          <w:b/>
          <w:sz w:val="24"/>
          <w:szCs w:val="24"/>
        </w:rPr>
        <w:t xml:space="preserve">and </w:t>
      </w:r>
      <w:r w:rsidRPr="001232A0">
        <w:rPr>
          <w:b/>
          <w:sz w:val="24"/>
          <w:szCs w:val="24"/>
        </w:rPr>
        <w:t>APPEALS</w:t>
      </w:r>
    </w:p>
    <w:p w:rsidR="002E5E2A" w:rsidRPr="00064F9C" w:rsidRDefault="00064F9C" w:rsidP="002E5E2A">
      <w:pPr>
        <w:spacing w:after="0"/>
        <w:jc w:val="center"/>
      </w:pPr>
      <w:r>
        <w:rPr>
          <w:u w:val="thick"/>
        </w:rPr>
        <w:t>_________________________</w:t>
      </w:r>
      <w:r w:rsidR="00650C67">
        <w:rPr>
          <w:u w:val="thick"/>
        </w:rPr>
        <w:t>_______</w:t>
      </w:r>
      <w:r>
        <w:rPr>
          <w:u w:val="thick"/>
        </w:rPr>
        <w:t>________________________</w:t>
      </w:r>
    </w:p>
    <w:p w:rsidR="00326C48" w:rsidRDefault="00326C48" w:rsidP="00DF205D"/>
    <w:p w:rsidR="00C94F25" w:rsidRDefault="00C94F25" w:rsidP="009960FC">
      <w:pPr>
        <w:spacing w:after="0"/>
      </w:pPr>
      <w:r>
        <w:rPr>
          <w:b/>
        </w:rPr>
        <w:t>Calls</w:t>
      </w:r>
      <w:r>
        <w:t xml:space="preserve"> </w:t>
      </w:r>
    </w:p>
    <w:p w:rsidR="00EF1E13" w:rsidRDefault="00EF1E13" w:rsidP="009960FC">
      <w:pPr>
        <w:spacing w:after="0"/>
      </w:pPr>
      <w:r w:rsidRPr="00447E2D">
        <w:t xml:space="preserve">Between the dates of </w:t>
      </w:r>
      <w:r w:rsidR="00C97F3E" w:rsidRPr="00447E2D">
        <w:rPr>
          <w:rFonts w:cs="Arial"/>
        </w:rPr>
        <w:t>January 1, 2015 – May 11, 2015</w:t>
      </w:r>
      <w:r w:rsidRPr="00447E2D">
        <w:t xml:space="preserve">, there were a total of </w:t>
      </w:r>
      <w:r w:rsidR="00C97F3E" w:rsidRPr="00447E2D">
        <w:t>twenty-nine (29)</w:t>
      </w:r>
      <w:r w:rsidRPr="00447E2D">
        <w:t xml:space="preserve"> calls to </w:t>
      </w:r>
      <w:r w:rsidR="00C97F3E" w:rsidRPr="00447E2D">
        <w:t>the Williams Call Line.   Eleven (11)</w:t>
      </w:r>
      <w:r w:rsidRPr="00447E2D">
        <w:t xml:space="preserve"> calls were directly from </w:t>
      </w:r>
      <w:r w:rsidR="00944086">
        <w:t>Class Members</w:t>
      </w:r>
      <w:r w:rsidRPr="00447E2D">
        <w:t xml:space="preserve"> seeking status updates on assessments/reassessments, transition, requesting appeal </w:t>
      </w:r>
      <w:r w:rsidR="00447E2D">
        <w:t xml:space="preserve">information </w:t>
      </w:r>
      <w:r w:rsidRPr="00447E2D">
        <w:t xml:space="preserve">or follow-up by a community agency.  </w:t>
      </w:r>
      <w:r w:rsidR="00C97F3E" w:rsidRPr="00447E2D">
        <w:t>Three (3)</w:t>
      </w:r>
      <w:r w:rsidRPr="00447E2D">
        <w:t xml:space="preserve"> call</w:t>
      </w:r>
      <w:r w:rsidR="00C97F3E" w:rsidRPr="00447E2D">
        <w:t>s</w:t>
      </w:r>
      <w:r w:rsidRPr="00447E2D">
        <w:t xml:space="preserve"> w</w:t>
      </w:r>
      <w:r w:rsidR="00C97F3E" w:rsidRPr="00447E2D">
        <w:t>ere</w:t>
      </w:r>
      <w:r w:rsidRPr="00447E2D">
        <w:t xml:space="preserve"> received from a family member</w:t>
      </w:r>
      <w:r w:rsidR="00C97F3E" w:rsidRPr="00447E2D">
        <w:t xml:space="preserve"> or guardian</w:t>
      </w:r>
      <w:r w:rsidRPr="00447E2D">
        <w:t xml:space="preserve"> of a </w:t>
      </w:r>
      <w:r w:rsidR="00C03B89" w:rsidRPr="00447E2D">
        <w:t>Class Member</w:t>
      </w:r>
      <w:r w:rsidRPr="00447E2D">
        <w:t>, seeking general infor</w:t>
      </w:r>
      <w:r w:rsidR="00C97F3E" w:rsidRPr="00447E2D">
        <w:t>mation about the Consent Decree.  Six (6) calls were received from other IMD/</w:t>
      </w:r>
      <w:r w:rsidR="00E142B6" w:rsidRPr="00447E2D">
        <w:t>nursing home</w:t>
      </w:r>
      <w:r w:rsidR="00C97F3E" w:rsidRPr="00447E2D">
        <w:t xml:space="preserve"> residents</w:t>
      </w:r>
      <w:r w:rsidR="00447E2D">
        <w:t xml:space="preserve"> for general information</w:t>
      </w:r>
      <w:r w:rsidR="00C97F3E" w:rsidRPr="00447E2D">
        <w:t>.</w:t>
      </w:r>
      <w:r w:rsidR="00C97F3E">
        <w:t xml:space="preserve">  Nine (9)</w:t>
      </w:r>
      <w:r>
        <w:t xml:space="preserve"> calls were received from other interested parties for general information</w:t>
      </w:r>
      <w:r w:rsidR="00447E2D">
        <w:t xml:space="preserve"> about the Williams Consent Decree</w:t>
      </w:r>
      <w:r>
        <w:t>.</w:t>
      </w:r>
      <w:r w:rsidR="00447E2D">
        <w:t xml:space="preserve"> </w:t>
      </w:r>
    </w:p>
    <w:p w:rsidR="001F5CBF" w:rsidRDefault="001F5CBF" w:rsidP="009960FC">
      <w:pPr>
        <w:spacing w:after="0"/>
      </w:pPr>
    </w:p>
    <w:p w:rsidR="00C94F25" w:rsidRDefault="00C94F25" w:rsidP="009960FC">
      <w:pPr>
        <w:spacing w:after="0"/>
        <w:rPr>
          <w:b/>
        </w:rPr>
      </w:pPr>
      <w:r>
        <w:rPr>
          <w:b/>
        </w:rPr>
        <w:t>Complaints</w:t>
      </w:r>
    </w:p>
    <w:p w:rsidR="00C94F25" w:rsidRDefault="00C94F25" w:rsidP="009960FC">
      <w:pPr>
        <w:pStyle w:val="PlainText"/>
        <w:jc w:val="both"/>
        <w:rPr>
          <w:rFonts w:asciiTheme="minorHAnsi" w:hAnsiTheme="minorHAnsi" w:cs="Arial"/>
          <w:sz w:val="22"/>
          <w:szCs w:val="22"/>
        </w:rPr>
      </w:pPr>
      <w:r>
        <w:rPr>
          <w:rFonts w:asciiTheme="minorHAnsi" w:hAnsiTheme="minorHAnsi" w:cs="Arial"/>
          <w:sz w:val="22"/>
          <w:szCs w:val="22"/>
        </w:rPr>
        <w:t xml:space="preserve">There were no </w:t>
      </w:r>
      <w:r w:rsidRPr="00662BDB">
        <w:rPr>
          <w:rFonts w:asciiTheme="minorHAnsi" w:hAnsiTheme="minorHAnsi" w:cs="Arial"/>
          <w:sz w:val="22"/>
          <w:szCs w:val="22"/>
        </w:rPr>
        <w:t>complaints</w:t>
      </w:r>
      <w:r>
        <w:rPr>
          <w:rFonts w:asciiTheme="minorHAnsi" w:hAnsiTheme="minorHAnsi" w:cs="Arial"/>
          <w:sz w:val="22"/>
          <w:szCs w:val="22"/>
        </w:rPr>
        <w:t xml:space="preserve"> or grievances filed to the Williams Call Line during the months covered by this report.</w:t>
      </w:r>
    </w:p>
    <w:p w:rsidR="00C94F25" w:rsidRDefault="00C94F25" w:rsidP="009960FC">
      <w:pPr>
        <w:pStyle w:val="PlainText"/>
        <w:jc w:val="both"/>
        <w:rPr>
          <w:rFonts w:asciiTheme="minorHAnsi" w:hAnsiTheme="minorHAnsi" w:cs="Arial"/>
          <w:sz w:val="22"/>
          <w:szCs w:val="22"/>
        </w:rPr>
      </w:pPr>
    </w:p>
    <w:p w:rsidR="00C94F25" w:rsidRPr="00F5225D" w:rsidRDefault="00C94F25" w:rsidP="009960FC">
      <w:pPr>
        <w:pStyle w:val="PlainText"/>
        <w:jc w:val="both"/>
        <w:rPr>
          <w:rFonts w:asciiTheme="minorHAnsi" w:hAnsiTheme="minorHAnsi" w:cs="Arial"/>
          <w:b/>
          <w:sz w:val="22"/>
          <w:szCs w:val="22"/>
        </w:rPr>
      </w:pPr>
      <w:r w:rsidRPr="00F5225D">
        <w:rPr>
          <w:rFonts w:asciiTheme="minorHAnsi" w:hAnsiTheme="minorHAnsi" w:cs="Arial"/>
          <w:b/>
          <w:sz w:val="22"/>
          <w:szCs w:val="22"/>
        </w:rPr>
        <w:t>Appeals</w:t>
      </w:r>
    </w:p>
    <w:p w:rsidR="00C94F25" w:rsidRPr="0057055B" w:rsidRDefault="00C94F25" w:rsidP="009960FC">
      <w:pPr>
        <w:pStyle w:val="PlainText"/>
        <w:jc w:val="both"/>
        <w:rPr>
          <w:rFonts w:asciiTheme="minorHAnsi" w:hAnsiTheme="minorHAnsi" w:cs="Arial"/>
          <w:b/>
          <w:sz w:val="22"/>
          <w:szCs w:val="22"/>
          <w:u w:val="single"/>
        </w:rPr>
      </w:pPr>
    </w:p>
    <w:p w:rsidR="00C94F25" w:rsidRPr="00662BDB" w:rsidRDefault="00C94F25" w:rsidP="009960FC">
      <w:pPr>
        <w:spacing w:after="0" w:line="480" w:lineRule="auto"/>
        <w:jc w:val="both"/>
        <w:rPr>
          <w:rFonts w:cs="Arial"/>
        </w:rPr>
      </w:pPr>
      <w:r>
        <w:rPr>
          <w:rFonts w:cs="Arial"/>
        </w:rPr>
        <w:t>There were no appeals submitted to DMH for review during this period.</w:t>
      </w:r>
    </w:p>
    <w:p w:rsidR="00C97F3E" w:rsidRPr="00007703" w:rsidRDefault="00C97F3E" w:rsidP="009960FC">
      <w:pPr>
        <w:spacing w:after="0" w:line="480" w:lineRule="auto"/>
        <w:rPr>
          <w:rFonts w:ascii="Arial" w:hAnsi="Arial" w:cs="Arial"/>
          <w:sz w:val="24"/>
          <w:szCs w:val="24"/>
        </w:rPr>
      </w:pPr>
    </w:p>
    <w:p w:rsidR="00C94F25" w:rsidRPr="00B92AA5" w:rsidRDefault="00C94F25" w:rsidP="009960FC">
      <w:pPr>
        <w:spacing w:after="0"/>
      </w:pPr>
    </w:p>
    <w:sectPr w:rsidR="00C94F25" w:rsidRPr="00B92AA5" w:rsidSect="009128B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19" w:rsidRDefault="00DC3B19" w:rsidP="00170C61">
      <w:pPr>
        <w:spacing w:after="0" w:line="240" w:lineRule="auto"/>
      </w:pPr>
      <w:r>
        <w:separator/>
      </w:r>
    </w:p>
  </w:endnote>
  <w:endnote w:type="continuationSeparator" w:id="0">
    <w:p w:rsidR="00DC3B19" w:rsidRDefault="00DC3B19" w:rsidP="0017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6F" w:rsidRPr="00170C61" w:rsidRDefault="00846A6F" w:rsidP="00170C61">
    <w:pPr>
      <w:pStyle w:val="Footer"/>
      <w:pBdr>
        <w:top w:val="thinThickSmallGap" w:sz="24" w:space="1" w:color="622423" w:themeColor="accent2" w:themeShade="7F"/>
      </w:pBdr>
      <w:rPr>
        <w:b/>
        <w:sz w:val="16"/>
        <w:szCs w:val="16"/>
      </w:rPr>
    </w:pPr>
    <w:r>
      <w:rPr>
        <w:b/>
        <w:sz w:val="16"/>
        <w:szCs w:val="16"/>
      </w:rPr>
      <w:t xml:space="preserve">June 1, 2015                                                                     </w:t>
    </w:r>
    <w:r w:rsidRPr="00170C61">
      <w:rPr>
        <w:b/>
        <w:sz w:val="16"/>
        <w:szCs w:val="16"/>
      </w:rPr>
      <w:t>Illinois Department of Human Services</w:t>
    </w:r>
  </w:p>
  <w:p w:rsidR="00846A6F" w:rsidRPr="00170C61" w:rsidRDefault="00846A6F" w:rsidP="00170C61">
    <w:pPr>
      <w:pStyle w:val="Footer"/>
      <w:pBdr>
        <w:top w:val="thinThickSmallGap" w:sz="24" w:space="1" w:color="622423" w:themeColor="accent2" w:themeShade="7F"/>
      </w:pBdr>
      <w:rPr>
        <w:b/>
        <w:sz w:val="16"/>
        <w:szCs w:val="16"/>
      </w:rPr>
    </w:pPr>
    <w:r w:rsidRPr="00170C61">
      <w:rPr>
        <w:b/>
        <w:sz w:val="16"/>
        <w:szCs w:val="16"/>
      </w:rPr>
      <w:tab/>
      <w:t>Division of Mental Health</w:t>
    </w:r>
    <w:r w:rsidRPr="00170C61">
      <w:rPr>
        <w:b/>
        <w:sz w:val="16"/>
        <w:szCs w:val="16"/>
      </w:rPr>
      <w:ptab w:relativeTo="margin" w:alignment="right" w:leader="none"/>
    </w:r>
    <w:r w:rsidRPr="00170C61">
      <w:rPr>
        <w:b/>
        <w:sz w:val="16"/>
        <w:szCs w:val="16"/>
      </w:rPr>
      <w:t xml:space="preserve">Page </w:t>
    </w:r>
    <w:r w:rsidR="00F76400" w:rsidRPr="00170C61">
      <w:rPr>
        <w:b/>
        <w:sz w:val="16"/>
        <w:szCs w:val="16"/>
      </w:rPr>
      <w:fldChar w:fldCharType="begin"/>
    </w:r>
    <w:r w:rsidRPr="00170C61">
      <w:rPr>
        <w:b/>
        <w:sz w:val="16"/>
        <w:szCs w:val="16"/>
      </w:rPr>
      <w:instrText xml:space="preserve"> PAGE   \* MERGEFORMAT </w:instrText>
    </w:r>
    <w:r w:rsidR="00F76400" w:rsidRPr="00170C61">
      <w:rPr>
        <w:b/>
        <w:sz w:val="16"/>
        <w:szCs w:val="16"/>
      </w:rPr>
      <w:fldChar w:fldCharType="separate"/>
    </w:r>
    <w:r w:rsidR="00544ED2">
      <w:rPr>
        <w:b/>
        <w:noProof/>
        <w:sz w:val="16"/>
        <w:szCs w:val="16"/>
      </w:rPr>
      <w:t>37</w:t>
    </w:r>
    <w:r w:rsidR="00F76400" w:rsidRPr="00170C6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19" w:rsidRDefault="00DC3B19" w:rsidP="00170C61">
      <w:pPr>
        <w:spacing w:after="0" w:line="240" w:lineRule="auto"/>
      </w:pPr>
      <w:r>
        <w:separator/>
      </w:r>
    </w:p>
  </w:footnote>
  <w:footnote w:type="continuationSeparator" w:id="0">
    <w:p w:rsidR="00DC3B19" w:rsidRDefault="00DC3B19" w:rsidP="00170C61">
      <w:pPr>
        <w:spacing w:after="0" w:line="240" w:lineRule="auto"/>
      </w:pPr>
      <w:r>
        <w:continuationSeparator/>
      </w:r>
    </w:p>
  </w:footnote>
  <w:footnote w:id="1">
    <w:p w:rsidR="00846A6F" w:rsidRPr="00BC1423" w:rsidRDefault="00846A6F" w:rsidP="00E572E7">
      <w:pPr>
        <w:pStyle w:val="FootnoteText"/>
        <w:rPr>
          <w:sz w:val="16"/>
          <w:szCs w:val="16"/>
        </w:rPr>
      </w:pPr>
      <w:r w:rsidRPr="00BC1423">
        <w:rPr>
          <w:rStyle w:val="FootnoteReference"/>
          <w:sz w:val="16"/>
          <w:szCs w:val="16"/>
        </w:rPr>
        <w:footnoteRef/>
      </w:r>
      <w:r w:rsidRPr="00BC1423">
        <w:rPr>
          <w:sz w:val="16"/>
          <w:szCs w:val="16"/>
        </w:rPr>
        <w:t xml:space="preserve"> Time frame from </w:t>
      </w:r>
      <w:r>
        <w:rPr>
          <w:sz w:val="16"/>
          <w:szCs w:val="16"/>
        </w:rPr>
        <w:t>Jan 1, 2015 – April 30, 2015</w:t>
      </w:r>
    </w:p>
  </w:footnote>
  <w:footnote w:id="2">
    <w:p w:rsidR="00846A6F" w:rsidRPr="00BC1423" w:rsidRDefault="00846A6F" w:rsidP="00E572E7">
      <w:pPr>
        <w:pStyle w:val="FootnoteText"/>
        <w:rPr>
          <w:sz w:val="16"/>
          <w:szCs w:val="16"/>
        </w:rPr>
      </w:pPr>
      <w:r w:rsidRPr="00BC1423">
        <w:rPr>
          <w:rStyle w:val="FootnoteReference"/>
          <w:sz w:val="16"/>
          <w:szCs w:val="16"/>
        </w:rPr>
        <w:footnoteRef/>
      </w:r>
      <w:r w:rsidRPr="00BC1423">
        <w:rPr>
          <w:sz w:val="16"/>
          <w:szCs w:val="16"/>
        </w:rPr>
        <w:t xml:space="preserve"> Data for #6 has not been omitted.  Information is collected by the community agencies.  </w:t>
      </w:r>
    </w:p>
  </w:footnote>
  <w:footnote w:id="3">
    <w:p w:rsidR="00846A6F" w:rsidRPr="00B324A5" w:rsidRDefault="00846A6F" w:rsidP="00E572E7">
      <w:pPr>
        <w:pStyle w:val="FootnoteText"/>
        <w:rPr>
          <w:sz w:val="16"/>
          <w:szCs w:val="16"/>
        </w:rPr>
      </w:pPr>
      <w:r w:rsidRPr="00B324A5">
        <w:rPr>
          <w:rStyle w:val="FootnoteReference"/>
          <w:sz w:val="16"/>
          <w:szCs w:val="16"/>
        </w:rPr>
        <w:footnoteRef/>
      </w:r>
      <w:r w:rsidRPr="00B324A5">
        <w:rPr>
          <w:sz w:val="16"/>
          <w:szCs w:val="16"/>
        </w:rPr>
        <w:t xml:space="preserve"> Duplicate approaches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6F" w:rsidRDefault="00DC3B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94197773"/>
        <w:dataBinding w:prefixMappings="xmlns:ns0='http://schemas.openxmlformats.org/package/2006/metadata/core-properties' xmlns:ns1='http://purl.org/dc/elements/1.1/'" w:xpath="/ns0:coreProperties[1]/ns1:title[1]" w:storeItemID="{6C3C8BC8-F283-45AE-878A-BAB7291924A1}"/>
        <w:text/>
      </w:sdtPr>
      <w:sdtEndPr/>
      <w:sdtContent>
        <w:r w:rsidR="00846A6F">
          <w:rPr>
            <w:rFonts w:asciiTheme="majorHAnsi" w:eastAsiaTheme="majorEastAsia" w:hAnsiTheme="majorHAnsi" w:cstheme="majorBidi"/>
            <w:sz w:val="32"/>
            <w:szCs w:val="32"/>
          </w:rPr>
          <w:t>Division of Mental Health</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8C2"/>
    <w:multiLevelType w:val="hybridMultilevel"/>
    <w:tmpl w:val="1CCC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D75DF"/>
    <w:multiLevelType w:val="hybridMultilevel"/>
    <w:tmpl w:val="E4AA05D0"/>
    <w:lvl w:ilvl="0" w:tplc="04090001">
      <w:start w:val="1"/>
      <w:numFmt w:val="bullet"/>
      <w:lvlText w:val=""/>
      <w:lvlJc w:val="left"/>
      <w:pPr>
        <w:ind w:left="720" w:hanging="360"/>
      </w:pPr>
      <w:rPr>
        <w:rFonts w:ascii="Symbol" w:hAnsi="Symbol" w:hint="default"/>
      </w:rPr>
    </w:lvl>
    <w:lvl w:ilvl="1" w:tplc="722EA97E">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D3718"/>
    <w:multiLevelType w:val="hybridMultilevel"/>
    <w:tmpl w:val="9CFA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251BD"/>
    <w:multiLevelType w:val="hybridMultilevel"/>
    <w:tmpl w:val="10D403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AB34BA"/>
    <w:multiLevelType w:val="hybridMultilevel"/>
    <w:tmpl w:val="FB941B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E5D35B9"/>
    <w:multiLevelType w:val="hybridMultilevel"/>
    <w:tmpl w:val="86CCC0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43D169E"/>
    <w:multiLevelType w:val="hybridMultilevel"/>
    <w:tmpl w:val="DCEE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E7C97"/>
    <w:multiLevelType w:val="hybridMultilevel"/>
    <w:tmpl w:val="7562B49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51E21C59"/>
    <w:multiLevelType w:val="hybridMultilevel"/>
    <w:tmpl w:val="6FC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F10B3"/>
    <w:multiLevelType w:val="hybridMultilevel"/>
    <w:tmpl w:val="86BC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4282B"/>
    <w:multiLevelType w:val="hybridMultilevel"/>
    <w:tmpl w:val="154ED9D6"/>
    <w:lvl w:ilvl="0" w:tplc="BB680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40288"/>
    <w:multiLevelType w:val="hybridMultilevel"/>
    <w:tmpl w:val="1F8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51DBB"/>
    <w:multiLevelType w:val="hybridMultilevel"/>
    <w:tmpl w:val="9C32983E"/>
    <w:lvl w:ilvl="0" w:tplc="A088EF3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510F9"/>
    <w:multiLevelType w:val="hybridMultilevel"/>
    <w:tmpl w:val="8D9C3E8C"/>
    <w:lvl w:ilvl="0" w:tplc="DFF09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96435"/>
    <w:multiLevelType w:val="hybridMultilevel"/>
    <w:tmpl w:val="35A095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B6187C"/>
    <w:multiLevelType w:val="hybridMultilevel"/>
    <w:tmpl w:val="2A40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C48E0"/>
    <w:multiLevelType w:val="hybridMultilevel"/>
    <w:tmpl w:val="D62C09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5"/>
  </w:num>
  <w:num w:numId="2">
    <w:abstractNumId w:val="2"/>
  </w:num>
  <w:num w:numId="3">
    <w:abstractNumId w:val="4"/>
  </w:num>
  <w:num w:numId="4">
    <w:abstractNumId w:val="14"/>
  </w:num>
  <w:num w:numId="5">
    <w:abstractNumId w:val="3"/>
  </w:num>
  <w:num w:numId="6">
    <w:abstractNumId w:val="7"/>
  </w:num>
  <w:num w:numId="7">
    <w:abstractNumId w:val="9"/>
  </w:num>
  <w:num w:numId="8">
    <w:abstractNumId w:val="0"/>
  </w:num>
  <w:num w:numId="9">
    <w:abstractNumId w:val="8"/>
  </w:num>
  <w:num w:numId="10">
    <w:abstractNumId w:val="13"/>
  </w:num>
  <w:num w:numId="11">
    <w:abstractNumId w:val="10"/>
  </w:num>
  <w:num w:numId="12">
    <w:abstractNumId w:val="6"/>
  </w:num>
  <w:num w:numId="13">
    <w:abstractNumId w:val="11"/>
  </w:num>
  <w:num w:numId="14">
    <w:abstractNumId w:val="1"/>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65"/>
    <w:rsid w:val="00000E78"/>
    <w:rsid w:val="00003D76"/>
    <w:rsid w:val="000051FB"/>
    <w:rsid w:val="00006BED"/>
    <w:rsid w:val="00006C1C"/>
    <w:rsid w:val="00014AD9"/>
    <w:rsid w:val="00014D3E"/>
    <w:rsid w:val="000168D4"/>
    <w:rsid w:val="00017765"/>
    <w:rsid w:val="00023E6B"/>
    <w:rsid w:val="00024953"/>
    <w:rsid w:val="00025127"/>
    <w:rsid w:val="000262F3"/>
    <w:rsid w:val="00030145"/>
    <w:rsid w:val="00033AA9"/>
    <w:rsid w:val="000352EF"/>
    <w:rsid w:val="00046B2A"/>
    <w:rsid w:val="00050581"/>
    <w:rsid w:val="000518BE"/>
    <w:rsid w:val="00054E61"/>
    <w:rsid w:val="000600C0"/>
    <w:rsid w:val="00064F9C"/>
    <w:rsid w:val="00065915"/>
    <w:rsid w:val="00070B39"/>
    <w:rsid w:val="0007183C"/>
    <w:rsid w:val="00072BCD"/>
    <w:rsid w:val="000732B3"/>
    <w:rsid w:val="00073A15"/>
    <w:rsid w:val="00077A72"/>
    <w:rsid w:val="000804F7"/>
    <w:rsid w:val="0008170A"/>
    <w:rsid w:val="000838D3"/>
    <w:rsid w:val="00084289"/>
    <w:rsid w:val="000849F7"/>
    <w:rsid w:val="000939F5"/>
    <w:rsid w:val="00096EF0"/>
    <w:rsid w:val="00097D94"/>
    <w:rsid w:val="00097EC0"/>
    <w:rsid w:val="000A72DE"/>
    <w:rsid w:val="000C5910"/>
    <w:rsid w:val="000C6EE0"/>
    <w:rsid w:val="000D04A7"/>
    <w:rsid w:val="000E24D9"/>
    <w:rsid w:val="000E308C"/>
    <w:rsid w:val="000E58F3"/>
    <w:rsid w:val="000F1FB7"/>
    <w:rsid w:val="000F5A0B"/>
    <w:rsid w:val="000F5D8A"/>
    <w:rsid w:val="000F6E89"/>
    <w:rsid w:val="0010465B"/>
    <w:rsid w:val="00104BF0"/>
    <w:rsid w:val="00110271"/>
    <w:rsid w:val="00114B5F"/>
    <w:rsid w:val="001176C4"/>
    <w:rsid w:val="001230B3"/>
    <w:rsid w:val="001232A0"/>
    <w:rsid w:val="001252CA"/>
    <w:rsid w:val="00130703"/>
    <w:rsid w:val="001326A9"/>
    <w:rsid w:val="00133C26"/>
    <w:rsid w:val="00134064"/>
    <w:rsid w:val="00136577"/>
    <w:rsid w:val="00143BFF"/>
    <w:rsid w:val="0014572B"/>
    <w:rsid w:val="00147FF1"/>
    <w:rsid w:val="0015143B"/>
    <w:rsid w:val="00152C67"/>
    <w:rsid w:val="001558F2"/>
    <w:rsid w:val="001601FE"/>
    <w:rsid w:val="00160534"/>
    <w:rsid w:val="00163937"/>
    <w:rsid w:val="00170C61"/>
    <w:rsid w:val="001713C2"/>
    <w:rsid w:val="00172F85"/>
    <w:rsid w:val="0017512B"/>
    <w:rsid w:val="00182581"/>
    <w:rsid w:val="00185C9D"/>
    <w:rsid w:val="00186E3F"/>
    <w:rsid w:val="001909DE"/>
    <w:rsid w:val="00191771"/>
    <w:rsid w:val="001A208D"/>
    <w:rsid w:val="001A3859"/>
    <w:rsid w:val="001A47D3"/>
    <w:rsid w:val="001A592C"/>
    <w:rsid w:val="001A6D7F"/>
    <w:rsid w:val="001B3FA7"/>
    <w:rsid w:val="001B42FE"/>
    <w:rsid w:val="001B5B29"/>
    <w:rsid w:val="001B6587"/>
    <w:rsid w:val="001B69BC"/>
    <w:rsid w:val="001B7C1B"/>
    <w:rsid w:val="001C0E33"/>
    <w:rsid w:val="001C43E6"/>
    <w:rsid w:val="001C5D79"/>
    <w:rsid w:val="001D31DF"/>
    <w:rsid w:val="001D707D"/>
    <w:rsid w:val="001D72A0"/>
    <w:rsid w:val="001E08B6"/>
    <w:rsid w:val="001E13E3"/>
    <w:rsid w:val="001E3CB1"/>
    <w:rsid w:val="001E5F90"/>
    <w:rsid w:val="001E6D47"/>
    <w:rsid w:val="001F03DF"/>
    <w:rsid w:val="001F5CBF"/>
    <w:rsid w:val="001F7A3D"/>
    <w:rsid w:val="00203C66"/>
    <w:rsid w:val="002069ED"/>
    <w:rsid w:val="00206F00"/>
    <w:rsid w:val="00206F2A"/>
    <w:rsid w:val="00213665"/>
    <w:rsid w:val="002177C1"/>
    <w:rsid w:val="00220CD6"/>
    <w:rsid w:val="002240F0"/>
    <w:rsid w:val="002261EB"/>
    <w:rsid w:val="0023119C"/>
    <w:rsid w:val="0023343D"/>
    <w:rsid w:val="002449CE"/>
    <w:rsid w:val="00244F78"/>
    <w:rsid w:val="00247420"/>
    <w:rsid w:val="00247755"/>
    <w:rsid w:val="00250310"/>
    <w:rsid w:val="002527D6"/>
    <w:rsid w:val="00252C05"/>
    <w:rsid w:val="0025704C"/>
    <w:rsid w:val="0025711F"/>
    <w:rsid w:val="00257DD8"/>
    <w:rsid w:val="00263670"/>
    <w:rsid w:val="002655C1"/>
    <w:rsid w:val="00267974"/>
    <w:rsid w:val="00267BBF"/>
    <w:rsid w:val="0027321F"/>
    <w:rsid w:val="002739CB"/>
    <w:rsid w:val="0027437C"/>
    <w:rsid w:val="00283BC6"/>
    <w:rsid w:val="00284A1E"/>
    <w:rsid w:val="00287A35"/>
    <w:rsid w:val="00290912"/>
    <w:rsid w:val="00290946"/>
    <w:rsid w:val="0029619A"/>
    <w:rsid w:val="002A1FC7"/>
    <w:rsid w:val="002A550E"/>
    <w:rsid w:val="002B0315"/>
    <w:rsid w:val="002B3997"/>
    <w:rsid w:val="002B5B65"/>
    <w:rsid w:val="002C0DDA"/>
    <w:rsid w:val="002C1FDC"/>
    <w:rsid w:val="002C338A"/>
    <w:rsid w:val="002D07B6"/>
    <w:rsid w:val="002D0CBF"/>
    <w:rsid w:val="002D2271"/>
    <w:rsid w:val="002D64C9"/>
    <w:rsid w:val="002D796B"/>
    <w:rsid w:val="002E01AB"/>
    <w:rsid w:val="002E2CEE"/>
    <w:rsid w:val="002E3825"/>
    <w:rsid w:val="002E5E2A"/>
    <w:rsid w:val="002F100C"/>
    <w:rsid w:val="002F3965"/>
    <w:rsid w:val="002F6EC5"/>
    <w:rsid w:val="00304670"/>
    <w:rsid w:val="00310C58"/>
    <w:rsid w:val="003120CD"/>
    <w:rsid w:val="003121A1"/>
    <w:rsid w:val="00315E62"/>
    <w:rsid w:val="003213FB"/>
    <w:rsid w:val="00325F2F"/>
    <w:rsid w:val="00326C48"/>
    <w:rsid w:val="00331333"/>
    <w:rsid w:val="0033255D"/>
    <w:rsid w:val="00333E26"/>
    <w:rsid w:val="0034111E"/>
    <w:rsid w:val="00341422"/>
    <w:rsid w:val="00342372"/>
    <w:rsid w:val="00343447"/>
    <w:rsid w:val="0034517B"/>
    <w:rsid w:val="0034546C"/>
    <w:rsid w:val="0034778C"/>
    <w:rsid w:val="003520CF"/>
    <w:rsid w:val="0035586C"/>
    <w:rsid w:val="00357604"/>
    <w:rsid w:val="00357B84"/>
    <w:rsid w:val="00362E9B"/>
    <w:rsid w:val="00371148"/>
    <w:rsid w:val="00372709"/>
    <w:rsid w:val="00374D6A"/>
    <w:rsid w:val="00377537"/>
    <w:rsid w:val="00383870"/>
    <w:rsid w:val="00386B2B"/>
    <w:rsid w:val="00386BC4"/>
    <w:rsid w:val="00387B4A"/>
    <w:rsid w:val="00393E4D"/>
    <w:rsid w:val="003A0C23"/>
    <w:rsid w:val="003A25FC"/>
    <w:rsid w:val="003A5D77"/>
    <w:rsid w:val="003A6DCA"/>
    <w:rsid w:val="003B0831"/>
    <w:rsid w:val="003B0C43"/>
    <w:rsid w:val="003B1058"/>
    <w:rsid w:val="003B18D3"/>
    <w:rsid w:val="003B4B21"/>
    <w:rsid w:val="003B6135"/>
    <w:rsid w:val="003C05C6"/>
    <w:rsid w:val="003C27D8"/>
    <w:rsid w:val="003C54EF"/>
    <w:rsid w:val="003C5546"/>
    <w:rsid w:val="003C65AE"/>
    <w:rsid w:val="003D15B8"/>
    <w:rsid w:val="003D5752"/>
    <w:rsid w:val="003E0374"/>
    <w:rsid w:val="003E1912"/>
    <w:rsid w:val="003E2776"/>
    <w:rsid w:val="003E3ECE"/>
    <w:rsid w:val="003E7A68"/>
    <w:rsid w:val="003F2CDA"/>
    <w:rsid w:val="003F388E"/>
    <w:rsid w:val="003F4802"/>
    <w:rsid w:val="003F4BBA"/>
    <w:rsid w:val="0040272F"/>
    <w:rsid w:val="00404F74"/>
    <w:rsid w:val="004167A5"/>
    <w:rsid w:val="0041711E"/>
    <w:rsid w:val="00420F60"/>
    <w:rsid w:val="0042515B"/>
    <w:rsid w:val="00425328"/>
    <w:rsid w:val="0042684B"/>
    <w:rsid w:val="0043224C"/>
    <w:rsid w:val="004368B9"/>
    <w:rsid w:val="00440060"/>
    <w:rsid w:val="00441CEB"/>
    <w:rsid w:val="00446BDA"/>
    <w:rsid w:val="00447DBA"/>
    <w:rsid w:val="00447E2D"/>
    <w:rsid w:val="004524C4"/>
    <w:rsid w:val="004546C6"/>
    <w:rsid w:val="004573DE"/>
    <w:rsid w:val="004620A3"/>
    <w:rsid w:val="00463E04"/>
    <w:rsid w:val="00464777"/>
    <w:rsid w:val="0047297F"/>
    <w:rsid w:val="004745A3"/>
    <w:rsid w:val="00475735"/>
    <w:rsid w:val="00475BB9"/>
    <w:rsid w:val="00480165"/>
    <w:rsid w:val="0049706D"/>
    <w:rsid w:val="004A3E1E"/>
    <w:rsid w:val="004A452E"/>
    <w:rsid w:val="004A50C5"/>
    <w:rsid w:val="004A74FC"/>
    <w:rsid w:val="004B231B"/>
    <w:rsid w:val="004B3413"/>
    <w:rsid w:val="004B502F"/>
    <w:rsid w:val="004B6FD2"/>
    <w:rsid w:val="004C3393"/>
    <w:rsid w:val="004C497F"/>
    <w:rsid w:val="004C57F5"/>
    <w:rsid w:val="004C5AF9"/>
    <w:rsid w:val="004C763B"/>
    <w:rsid w:val="004C7A8D"/>
    <w:rsid w:val="004D1BF2"/>
    <w:rsid w:val="004D671E"/>
    <w:rsid w:val="004E1547"/>
    <w:rsid w:val="004E2067"/>
    <w:rsid w:val="004E6435"/>
    <w:rsid w:val="004E76CA"/>
    <w:rsid w:val="004F1EDD"/>
    <w:rsid w:val="004F1F89"/>
    <w:rsid w:val="004F2765"/>
    <w:rsid w:val="004F3FD5"/>
    <w:rsid w:val="004F543C"/>
    <w:rsid w:val="004F627C"/>
    <w:rsid w:val="004F63DD"/>
    <w:rsid w:val="004F6C4B"/>
    <w:rsid w:val="0050244F"/>
    <w:rsid w:val="00514274"/>
    <w:rsid w:val="005155AC"/>
    <w:rsid w:val="005164EA"/>
    <w:rsid w:val="00517EA2"/>
    <w:rsid w:val="005224B0"/>
    <w:rsid w:val="00524137"/>
    <w:rsid w:val="00525616"/>
    <w:rsid w:val="00531175"/>
    <w:rsid w:val="00544ED2"/>
    <w:rsid w:val="00545585"/>
    <w:rsid w:val="00547FB5"/>
    <w:rsid w:val="00551943"/>
    <w:rsid w:val="00562F2B"/>
    <w:rsid w:val="005631AB"/>
    <w:rsid w:val="00564209"/>
    <w:rsid w:val="00564242"/>
    <w:rsid w:val="00564980"/>
    <w:rsid w:val="00566489"/>
    <w:rsid w:val="00570058"/>
    <w:rsid w:val="00570FCA"/>
    <w:rsid w:val="005729B1"/>
    <w:rsid w:val="00577F77"/>
    <w:rsid w:val="005849F8"/>
    <w:rsid w:val="0058665C"/>
    <w:rsid w:val="005903F2"/>
    <w:rsid w:val="00593CBB"/>
    <w:rsid w:val="00596D27"/>
    <w:rsid w:val="00596F89"/>
    <w:rsid w:val="00597331"/>
    <w:rsid w:val="00597F8E"/>
    <w:rsid w:val="005A0867"/>
    <w:rsid w:val="005A387C"/>
    <w:rsid w:val="005A43CD"/>
    <w:rsid w:val="005A4A30"/>
    <w:rsid w:val="005B0D79"/>
    <w:rsid w:val="005B1B4F"/>
    <w:rsid w:val="005B2A04"/>
    <w:rsid w:val="005B47C2"/>
    <w:rsid w:val="005B4AF3"/>
    <w:rsid w:val="005C0B04"/>
    <w:rsid w:val="005C3289"/>
    <w:rsid w:val="005C53D4"/>
    <w:rsid w:val="005C7450"/>
    <w:rsid w:val="005D2175"/>
    <w:rsid w:val="005D24F3"/>
    <w:rsid w:val="005D5BD2"/>
    <w:rsid w:val="005D6303"/>
    <w:rsid w:val="005E147B"/>
    <w:rsid w:val="005E504E"/>
    <w:rsid w:val="005E55A1"/>
    <w:rsid w:val="005E691C"/>
    <w:rsid w:val="005F1E90"/>
    <w:rsid w:val="005F1FB1"/>
    <w:rsid w:val="005F23F3"/>
    <w:rsid w:val="005F2790"/>
    <w:rsid w:val="005F72A0"/>
    <w:rsid w:val="00600774"/>
    <w:rsid w:val="00605357"/>
    <w:rsid w:val="00606E1F"/>
    <w:rsid w:val="00610D9D"/>
    <w:rsid w:val="00613E0A"/>
    <w:rsid w:val="00614C02"/>
    <w:rsid w:val="006155FB"/>
    <w:rsid w:val="0062163F"/>
    <w:rsid w:val="0062176D"/>
    <w:rsid w:val="00635566"/>
    <w:rsid w:val="00636FD5"/>
    <w:rsid w:val="00647AB1"/>
    <w:rsid w:val="0065046B"/>
    <w:rsid w:val="00650C67"/>
    <w:rsid w:val="006610F3"/>
    <w:rsid w:val="00665AD0"/>
    <w:rsid w:val="00670E6D"/>
    <w:rsid w:val="00672DE9"/>
    <w:rsid w:val="00673EE0"/>
    <w:rsid w:val="00674325"/>
    <w:rsid w:val="00675904"/>
    <w:rsid w:val="0068652B"/>
    <w:rsid w:val="006970D8"/>
    <w:rsid w:val="006A0F3E"/>
    <w:rsid w:val="006A150A"/>
    <w:rsid w:val="006A197B"/>
    <w:rsid w:val="006A2449"/>
    <w:rsid w:val="006A5CE2"/>
    <w:rsid w:val="006B1C1E"/>
    <w:rsid w:val="006B1FD2"/>
    <w:rsid w:val="006B3982"/>
    <w:rsid w:val="006B3E9D"/>
    <w:rsid w:val="006B5CBC"/>
    <w:rsid w:val="006C1EB3"/>
    <w:rsid w:val="006C48F7"/>
    <w:rsid w:val="006C4B24"/>
    <w:rsid w:val="006D3282"/>
    <w:rsid w:val="006D4169"/>
    <w:rsid w:val="006E02CB"/>
    <w:rsid w:val="006E1FFB"/>
    <w:rsid w:val="006E3556"/>
    <w:rsid w:val="006E5819"/>
    <w:rsid w:val="006E6B77"/>
    <w:rsid w:val="006E745B"/>
    <w:rsid w:val="006F33C7"/>
    <w:rsid w:val="006F352E"/>
    <w:rsid w:val="006F5557"/>
    <w:rsid w:val="006F55BE"/>
    <w:rsid w:val="00712021"/>
    <w:rsid w:val="00715958"/>
    <w:rsid w:val="00716C80"/>
    <w:rsid w:val="007206D5"/>
    <w:rsid w:val="0072531E"/>
    <w:rsid w:val="00725D35"/>
    <w:rsid w:val="00730B4A"/>
    <w:rsid w:val="007363F2"/>
    <w:rsid w:val="00737AD3"/>
    <w:rsid w:val="007425B2"/>
    <w:rsid w:val="0074555D"/>
    <w:rsid w:val="0074617B"/>
    <w:rsid w:val="00756A52"/>
    <w:rsid w:val="00761EB3"/>
    <w:rsid w:val="00763A19"/>
    <w:rsid w:val="00763B03"/>
    <w:rsid w:val="0077488F"/>
    <w:rsid w:val="007748C3"/>
    <w:rsid w:val="00784D56"/>
    <w:rsid w:val="00784F6A"/>
    <w:rsid w:val="0078621A"/>
    <w:rsid w:val="00790B64"/>
    <w:rsid w:val="007944D0"/>
    <w:rsid w:val="007A343A"/>
    <w:rsid w:val="007A40A0"/>
    <w:rsid w:val="007A4815"/>
    <w:rsid w:val="007A5A9F"/>
    <w:rsid w:val="007A73AD"/>
    <w:rsid w:val="007B6146"/>
    <w:rsid w:val="007B70B2"/>
    <w:rsid w:val="007C00ED"/>
    <w:rsid w:val="007C1B22"/>
    <w:rsid w:val="007C223B"/>
    <w:rsid w:val="007C2EB2"/>
    <w:rsid w:val="007D1B35"/>
    <w:rsid w:val="007D2B46"/>
    <w:rsid w:val="007D2E03"/>
    <w:rsid w:val="007D2EAA"/>
    <w:rsid w:val="007E25D1"/>
    <w:rsid w:val="007E2F01"/>
    <w:rsid w:val="007E3838"/>
    <w:rsid w:val="007E7CAF"/>
    <w:rsid w:val="007E7DF0"/>
    <w:rsid w:val="007F3046"/>
    <w:rsid w:val="007F39D1"/>
    <w:rsid w:val="007F3E15"/>
    <w:rsid w:val="00800947"/>
    <w:rsid w:val="00813D0C"/>
    <w:rsid w:val="00817524"/>
    <w:rsid w:val="00817B7C"/>
    <w:rsid w:val="0082173D"/>
    <w:rsid w:val="0083238C"/>
    <w:rsid w:val="00833FB8"/>
    <w:rsid w:val="00834FE3"/>
    <w:rsid w:val="0083625B"/>
    <w:rsid w:val="00836D3E"/>
    <w:rsid w:val="0084072F"/>
    <w:rsid w:val="00840A02"/>
    <w:rsid w:val="008413F5"/>
    <w:rsid w:val="008414A1"/>
    <w:rsid w:val="00841730"/>
    <w:rsid w:val="00841AB8"/>
    <w:rsid w:val="0084202B"/>
    <w:rsid w:val="00846705"/>
    <w:rsid w:val="00846970"/>
    <w:rsid w:val="00846A6F"/>
    <w:rsid w:val="0085223D"/>
    <w:rsid w:val="00853878"/>
    <w:rsid w:val="0085464D"/>
    <w:rsid w:val="00855CD4"/>
    <w:rsid w:val="008602CC"/>
    <w:rsid w:val="008607A9"/>
    <w:rsid w:val="00860CD4"/>
    <w:rsid w:val="00863C55"/>
    <w:rsid w:val="008657BB"/>
    <w:rsid w:val="00866AF4"/>
    <w:rsid w:val="00870BC3"/>
    <w:rsid w:val="008713CF"/>
    <w:rsid w:val="00877256"/>
    <w:rsid w:val="008849E6"/>
    <w:rsid w:val="008867D7"/>
    <w:rsid w:val="00894B2F"/>
    <w:rsid w:val="00896E87"/>
    <w:rsid w:val="008A3D1E"/>
    <w:rsid w:val="008B010F"/>
    <w:rsid w:val="008B0274"/>
    <w:rsid w:val="008B10C2"/>
    <w:rsid w:val="008B6CC4"/>
    <w:rsid w:val="008B76DB"/>
    <w:rsid w:val="008C17FB"/>
    <w:rsid w:val="008C2D1A"/>
    <w:rsid w:val="008C69FB"/>
    <w:rsid w:val="008D018C"/>
    <w:rsid w:val="008D0438"/>
    <w:rsid w:val="008D47C2"/>
    <w:rsid w:val="008D66F2"/>
    <w:rsid w:val="008E0CCC"/>
    <w:rsid w:val="008E3DF1"/>
    <w:rsid w:val="008E7CED"/>
    <w:rsid w:val="008F322C"/>
    <w:rsid w:val="008F72C6"/>
    <w:rsid w:val="00902E04"/>
    <w:rsid w:val="00903C1A"/>
    <w:rsid w:val="009045DF"/>
    <w:rsid w:val="009128B9"/>
    <w:rsid w:val="00912B83"/>
    <w:rsid w:val="009154E3"/>
    <w:rsid w:val="00916DCC"/>
    <w:rsid w:val="009177BC"/>
    <w:rsid w:val="0092151D"/>
    <w:rsid w:val="00925DA2"/>
    <w:rsid w:val="009274EC"/>
    <w:rsid w:val="00930E2D"/>
    <w:rsid w:val="00930FB8"/>
    <w:rsid w:val="00933458"/>
    <w:rsid w:val="009357E2"/>
    <w:rsid w:val="009370C6"/>
    <w:rsid w:val="00941047"/>
    <w:rsid w:val="00941440"/>
    <w:rsid w:val="00944086"/>
    <w:rsid w:val="00945F64"/>
    <w:rsid w:val="00946AA7"/>
    <w:rsid w:val="0095028D"/>
    <w:rsid w:val="00952B54"/>
    <w:rsid w:val="00954971"/>
    <w:rsid w:val="00955B66"/>
    <w:rsid w:val="00956CDD"/>
    <w:rsid w:val="0096186E"/>
    <w:rsid w:val="00962861"/>
    <w:rsid w:val="009643D6"/>
    <w:rsid w:val="00966B92"/>
    <w:rsid w:val="00975857"/>
    <w:rsid w:val="009818BD"/>
    <w:rsid w:val="009826C8"/>
    <w:rsid w:val="009845F9"/>
    <w:rsid w:val="00986C5D"/>
    <w:rsid w:val="0099324C"/>
    <w:rsid w:val="00993E4A"/>
    <w:rsid w:val="00993F42"/>
    <w:rsid w:val="00994878"/>
    <w:rsid w:val="0099530C"/>
    <w:rsid w:val="009960FC"/>
    <w:rsid w:val="009A417F"/>
    <w:rsid w:val="009B30E0"/>
    <w:rsid w:val="009C1011"/>
    <w:rsid w:val="009C1BD9"/>
    <w:rsid w:val="009C2607"/>
    <w:rsid w:val="009C2C0C"/>
    <w:rsid w:val="009C7A6D"/>
    <w:rsid w:val="009D0067"/>
    <w:rsid w:val="009D0664"/>
    <w:rsid w:val="009D2189"/>
    <w:rsid w:val="009D4621"/>
    <w:rsid w:val="009E3E96"/>
    <w:rsid w:val="009E5450"/>
    <w:rsid w:val="009E6500"/>
    <w:rsid w:val="009E79F9"/>
    <w:rsid w:val="009F0393"/>
    <w:rsid w:val="009F03C8"/>
    <w:rsid w:val="009F30A3"/>
    <w:rsid w:val="00A00090"/>
    <w:rsid w:val="00A00CAD"/>
    <w:rsid w:val="00A02A44"/>
    <w:rsid w:val="00A02BC3"/>
    <w:rsid w:val="00A05C3C"/>
    <w:rsid w:val="00A0755E"/>
    <w:rsid w:val="00A103BE"/>
    <w:rsid w:val="00A1166D"/>
    <w:rsid w:val="00A16602"/>
    <w:rsid w:val="00A227AF"/>
    <w:rsid w:val="00A2595E"/>
    <w:rsid w:val="00A27DD2"/>
    <w:rsid w:val="00A3246F"/>
    <w:rsid w:val="00A409EE"/>
    <w:rsid w:val="00A40A6F"/>
    <w:rsid w:val="00A42708"/>
    <w:rsid w:val="00A43B5F"/>
    <w:rsid w:val="00A461FE"/>
    <w:rsid w:val="00A468EE"/>
    <w:rsid w:val="00A47262"/>
    <w:rsid w:val="00A47D73"/>
    <w:rsid w:val="00A47ED2"/>
    <w:rsid w:val="00A61E2A"/>
    <w:rsid w:val="00A63755"/>
    <w:rsid w:val="00A6566F"/>
    <w:rsid w:val="00A67E8F"/>
    <w:rsid w:val="00A73318"/>
    <w:rsid w:val="00A7481D"/>
    <w:rsid w:val="00A83EEC"/>
    <w:rsid w:val="00A86624"/>
    <w:rsid w:val="00A86FD5"/>
    <w:rsid w:val="00A90B47"/>
    <w:rsid w:val="00A94D66"/>
    <w:rsid w:val="00AA1384"/>
    <w:rsid w:val="00AA2196"/>
    <w:rsid w:val="00AA2C8A"/>
    <w:rsid w:val="00AA4E54"/>
    <w:rsid w:val="00AA7963"/>
    <w:rsid w:val="00AA7DC6"/>
    <w:rsid w:val="00AB0424"/>
    <w:rsid w:val="00AB59B5"/>
    <w:rsid w:val="00AB61F4"/>
    <w:rsid w:val="00AB75DD"/>
    <w:rsid w:val="00AC1CAA"/>
    <w:rsid w:val="00AC44C0"/>
    <w:rsid w:val="00AC4BDA"/>
    <w:rsid w:val="00AD1979"/>
    <w:rsid w:val="00AD5593"/>
    <w:rsid w:val="00AE785C"/>
    <w:rsid w:val="00AF04FB"/>
    <w:rsid w:val="00AF1732"/>
    <w:rsid w:val="00AF19D0"/>
    <w:rsid w:val="00B00307"/>
    <w:rsid w:val="00B024C2"/>
    <w:rsid w:val="00B02988"/>
    <w:rsid w:val="00B07FB0"/>
    <w:rsid w:val="00B10BCD"/>
    <w:rsid w:val="00B17DE5"/>
    <w:rsid w:val="00B20590"/>
    <w:rsid w:val="00B20BEA"/>
    <w:rsid w:val="00B25B1C"/>
    <w:rsid w:val="00B31A48"/>
    <w:rsid w:val="00B350D2"/>
    <w:rsid w:val="00B36512"/>
    <w:rsid w:val="00B42131"/>
    <w:rsid w:val="00B43685"/>
    <w:rsid w:val="00B61C49"/>
    <w:rsid w:val="00B61D50"/>
    <w:rsid w:val="00B624E2"/>
    <w:rsid w:val="00B632E6"/>
    <w:rsid w:val="00B63CD8"/>
    <w:rsid w:val="00B65346"/>
    <w:rsid w:val="00B7096C"/>
    <w:rsid w:val="00B73137"/>
    <w:rsid w:val="00B7480B"/>
    <w:rsid w:val="00B7783B"/>
    <w:rsid w:val="00B812B4"/>
    <w:rsid w:val="00B822EF"/>
    <w:rsid w:val="00B82C8A"/>
    <w:rsid w:val="00B83974"/>
    <w:rsid w:val="00B87FBC"/>
    <w:rsid w:val="00B902F5"/>
    <w:rsid w:val="00B9059F"/>
    <w:rsid w:val="00B92AA5"/>
    <w:rsid w:val="00B94D53"/>
    <w:rsid w:val="00B94F19"/>
    <w:rsid w:val="00BA047B"/>
    <w:rsid w:val="00BA4545"/>
    <w:rsid w:val="00BA721C"/>
    <w:rsid w:val="00BA7D3E"/>
    <w:rsid w:val="00BB426A"/>
    <w:rsid w:val="00BB6341"/>
    <w:rsid w:val="00BB6D41"/>
    <w:rsid w:val="00BC08D2"/>
    <w:rsid w:val="00BC4E45"/>
    <w:rsid w:val="00BD0C32"/>
    <w:rsid w:val="00BD1454"/>
    <w:rsid w:val="00BD1598"/>
    <w:rsid w:val="00BE4E84"/>
    <w:rsid w:val="00BF752F"/>
    <w:rsid w:val="00C005D5"/>
    <w:rsid w:val="00C010E9"/>
    <w:rsid w:val="00C03B89"/>
    <w:rsid w:val="00C04E27"/>
    <w:rsid w:val="00C11AC2"/>
    <w:rsid w:val="00C142B7"/>
    <w:rsid w:val="00C15F88"/>
    <w:rsid w:val="00C16A05"/>
    <w:rsid w:val="00C1775C"/>
    <w:rsid w:val="00C207A7"/>
    <w:rsid w:val="00C20BCF"/>
    <w:rsid w:val="00C2113F"/>
    <w:rsid w:val="00C23472"/>
    <w:rsid w:val="00C275FB"/>
    <w:rsid w:val="00C305BD"/>
    <w:rsid w:val="00C330B7"/>
    <w:rsid w:val="00C36EBE"/>
    <w:rsid w:val="00C42CCC"/>
    <w:rsid w:val="00C45A4F"/>
    <w:rsid w:val="00C51B57"/>
    <w:rsid w:val="00C52662"/>
    <w:rsid w:val="00C57624"/>
    <w:rsid w:val="00C613EF"/>
    <w:rsid w:val="00C61BE8"/>
    <w:rsid w:val="00C62225"/>
    <w:rsid w:val="00C62591"/>
    <w:rsid w:val="00C71AC4"/>
    <w:rsid w:val="00C74CFF"/>
    <w:rsid w:val="00C85E95"/>
    <w:rsid w:val="00C9015F"/>
    <w:rsid w:val="00C90DD2"/>
    <w:rsid w:val="00C91527"/>
    <w:rsid w:val="00C94F25"/>
    <w:rsid w:val="00C96834"/>
    <w:rsid w:val="00C97F3E"/>
    <w:rsid w:val="00CA0726"/>
    <w:rsid w:val="00CA5A6E"/>
    <w:rsid w:val="00CA6960"/>
    <w:rsid w:val="00CA6FEF"/>
    <w:rsid w:val="00CB2DB4"/>
    <w:rsid w:val="00CB2E4C"/>
    <w:rsid w:val="00CB6B07"/>
    <w:rsid w:val="00CC3BED"/>
    <w:rsid w:val="00CC3FAF"/>
    <w:rsid w:val="00CC7108"/>
    <w:rsid w:val="00CD27AE"/>
    <w:rsid w:val="00CD3B5E"/>
    <w:rsid w:val="00CD49C2"/>
    <w:rsid w:val="00CE3BC8"/>
    <w:rsid w:val="00CF099D"/>
    <w:rsid w:val="00D026DB"/>
    <w:rsid w:val="00D02F8E"/>
    <w:rsid w:val="00D03AF9"/>
    <w:rsid w:val="00D11B0C"/>
    <w:rsid w:val="00D14BCC"/>
    <w:rsid w:val="00D15CA5"/>
    <w:rsid w:val="00D20AAC"/>
    <w:rsid w:val="00D27B0E"/>
    <w:rsid w:val="00D351C2"/>
    <w:rsid w:val="00D37536"/>
    <w:rsid w:val="00D42181"/>
    <w:rsid w:val="00D45B8C"/>
    <w:rsid w:val="00D45BFF"/>
    <w:rsid w:val="00D46C75"/>
    <w:rsid w:val="00D474BB"/>
    <w:rsid w:val="00D5188B"/>
    <w:rsid w:val="00D525B9"/>
    <w:rsid w:val="00D56266"/>
    <w:rsid w:val="00D56AE9"/>
    <w:rsid w:val="00D57A0B"/>
    <w:rsid w:val="00D61AB6"/>
    <w:rsid w:val="00D61EA7"/>
    <w:rsid w:val="00D663A4"/>
    <w:rsid w:val="00D66759"/>
    <w:rsid w:val="00D70194"/>
    <w:rsid w:val="00D7159B"/>
    <w:rsid w:val="00D716D8"/>
    <w:rsid w:val="00D72D61"/>
    <w:rsid w:val="00D74EC9"/>
    <w:rsid w:val="00D80F00"/>
    <w:rsid w:val="00D8171E"/>
    <w:rsid w:val="00D82360"/>
    <w:rsid w:val="00D8476D"/>
    <w:rsid w:val="00D85826"/>
    <w:rsid w:val="00D87187"/>
    <w:rsid w:val="00D90DFD"/>
    <w:rsid w:val="00D963D1"/>
    <w:rsid w:val="00D96CF8"/>
    <w:rsid w:val="00DA1DEE"/>
    <w:rsid w:val="00DB4FF6"/>
    <w:rsid w:val="00DC2FCF"/>
    <w:rsid w:val="00DC3B19"/>
    <w:rsid w:val="00DC5BFA"/>
    <w:rsid w:val="00DC5C9B"/>
    <w:rsid w:val="00DD1422"/>
    <w:rsid w:val="00DD3E7E"/>
    <w:rsid w:val="00DD72E7"/>
    <w:rsid w:val="00DE05B2"/>
    <w:rsid w:val="00DE0D56"/>
    <w:rsid w:val="00DE5518"/>
    <w:rsid w:val="00DE7ED4"/>
    <w:rsid w:val="00DF0864"/>
    <w:rsid w:val="00DF15AD"/>
    <w:rsid w:val="00DF205D"/>
    <w:rsid w:val="00DF444F"/>
    <w:rsid w:val="00DF7FB0"/>
    <w:rsid w:val="00E023B2"/>
    <w:rsid w:val="00E115B0"/>
    <w:rsid w:val="00E142B6"/>
    <w:rsid w:val="00E14674"/>
    <w:rsid w:val="00E2058E"/>
    <w:rsid w:val="00E24B0A"/>
    <w:rsid w:val="00E27468"/>
    <w:rsid w:val="00E31B79"/>
    <w:rsid w:val="00E31F04"/>
    <w:rsid w:val="00E323BF"/>
    <w:rsid w:val="00E338AA"/>
    <w:rsid w:val="00E3588B"/>
    <w:rsid w:val="00E369FE"/>
    <w:rsid w:val="00E37123"/>
    <w:rsid w:val="00E37499"/>
    <w:rsid w:val="00E44125"/>
    <w:rsid w:val="00E45FED"/>
    <w:rsid w:val="00E506FC"/>
    <w:rsid w:val="00E50A6E"/>
    <w:rsid w:val="00E572E7"/>
    <w:rsid w:val="00E667BA"/>
    <w:rsid w:val="00E66CE1"/>
    <w:rsid w:val="00E70916"/>
    <w:rsid w:val="00E71EC7"/>
    <w:rsid w:val="00E806D0"/>
    <w:rsid w:val="00E85989"/>
    <w:rsid w:val="00E87390"/>
    <w:rsid w:val="00E92420"/>
    <w:rsid w:val="00E97561"/>
    <w:rsid w:val="00EA1786"/>
    <w:rsid w:val="00EA1DAB"/>
    <w:rsid w:val="00EA3363"/>
    <w:rsid w:val="00EA3A7E"/>
    <w:rsid w:val="00EA4DC6"/>
    <w:rsid w:val="00EA629E"/>
    <w:rsid w:val="00EB4722"/>
    <w:rsid w:val="00EC1518"/>
    <w:rsid w:val="00EC69D6"/>
    <w:rsid w:val="00EC6D97"/>
    <w:rsid w:val="00ED044C"/>
    <w:rsid w:val="00ED2E4D"/>
    <w:rsid w:val="00ED3137"/>
    <w:rsid w:val="00ED3B6E"/>
    <w:rsid w:val="00EE6E7C"/>
    <w:rsid w:val="00EF01E0"/>
    <w:rsid w:val="00EF1E13"/>
    <w:rsid w:val="00EF519F"/>
    <w:rsid w:val="00EF612E"/>
    <w:rsid w:val="00EF612F"/>
    <w:rsid w:val="00F00BBA"/>
    <w:rsid w:val="00F0128E"/>
    <w:rsid w:val="00F021AA"/>
    <w:rsid w:val="00F1458F"/>
    <w:rsid w:val="00F15E97"/>
    <w:rsid w:val="00F17AED"/>
    <w:rsid w:val="00F21DAB"/>
    <w:rsid w:val="00F24AC7"/>
    <w:rsid w:val="00F272B1"/>
    <w:rsid w:val="00F30A7C"/>
    <w:rsid w:val="00F346F2"/>
    <w:rsid w:val="00F35AD2"/>
    <w:rsid w:val="00F374D0"/>
    <w:rsid w:val="00F37B26"/>
    <w:rsid w:val="00F4666F"/>
    <w:rsid w:val="00F477D6"/>
    <w:rsid w:val="00F5225D"/>
    <w:rsid w:val="00F53784"/>
    <w:rsid w:val="00F53892"/>
    <w:rsid w:val="00F60216"/>
    <w:rsid w:val="00F62379"/>
    <w:rsid w:val="00F63A3F"/>
    <w:rsid w:val="00F67593"/>
    <w:rsid w:val="00F73034"/>
    <w:rsid w:val="00F735DE"/>
    <w:rsid w:val="00F74198"/>
    <w:rsid w:val="00F75D5A"/>
    <w:rsid w:val="00F76400"/>
    <w:rsid w:val="00F80EE6"/>
    <w:rsid w:val="00F82FCB"/>
    <w:rsid w:val="00F84870"/>
    <w:rsid w:val="00F85B14"/>
    <w:rsid w:val="00F865FC"/>
    <w:rsid w:val="00F956F8"/>
    <w:rsid w:val="00F96F68"/>
    <w:rsid w:val="00FA2246"/>
    <w:rsid w:val="00FA64E0"/>
    <w:rsid w:val="00FB1A26"/>
    <w:rsid w:val="00FB68C7"/>
    <w:rsid w:val="00FC05DC"/>
    <w:rsid w:val="00FC1DBC"/>
    <w:rsid w:val="00FC4EF2"/>
    <w:rsid w:val="00FC56C3"/>
    <w:rsid w:val="00FC69A1"/>
    <w:rsid w:val="00FC7646"/>
    <w:rsid w:val="00FD05DD"/>
    <w:rsid w:val="00FD0996"/>
    <w:rsid w:val="00FD13F7"/>
    <w:rsid w:val="00FD3B17"/>
    <w:rsid w:val="00FD3CDE"/>
    <w:rsid w:val="00FD4DBF"/>
    <w:rsid w:val="00FD7A7E"/>
    <w:rsid w:val="00FE7083"/>
    <w:rsid w:val="00FF519A"/>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C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C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C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0C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0C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0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0C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70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61"/>
  </w:style>
  <w:style w:type="paragraph" w:styleId="Footer">
    <w:name w:val="footer"/>
    <w:basedOn w:val="Normal"/>
    <w:link w:val="FooterChar"/>
    <w:uiPriority w:val="99"/>
    <w:unhideWhenUsed/>
    <w:rsid w:val="0017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61"/>
  </w:style>
  <w:style w:type="paragraph" w:styleId="NoSpacing">
    <w:name w:val="No Spacing"/>
    <w:link w:val="NoSpacingChar"/>
    <w:uiPriority w:val="1"/>
    <w:qFormat/>
    <w:rsid w:val="00170C61"/>
    <w:pPr>
      <w:spacing w:after="0" w:line="240" w:lineRule="auto"/>
    </w:pPr>
  </w:style>
  <w:style w:type="character" w:customStyle="1" w:styleId="Heading1Char">
    <w:name w:val="Heading 1 Char"/>
    <w:basedOn w:val="DefaultParagraphFont"/>
    <w:link w:val="Heading1"/>
    <w:uiPriority w:val="9"/>
    <w:rsid w:val="00170C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0C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C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0C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0C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0C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0C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0C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70C6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7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61"/>
    <w:rPr>
      <w:rFonts w:ascii="Tahoma" w:hAnsi="Tahoma" w:cs="Tahoma"/>
      <w:sz w:val="16"/>
      <w:szCs w:val="16"/>
    </w:rPr>
  </w:style>
  <w:style w:type="paragraph" w:styleId="ListParagraph">
    <w:name w:val="List Paragraph"/>
    <w:basedOn w:val="Normal"/>
    <w:uiPriority w:val="34"/>
    <w:qFormat/>
    <w:rsid w:val="00570FCA"/>
    <w:pPr>
      <w:ind w:left="720"/>
      <w:contextualSpacing/>
    </w:pPr>
  </w:style>
  <w:style w:type="table" w:styleId="TableGrid">
    <w:name w:val="Table Grid"/>
    <w:basedOn w:val="TableNormal"/>
    <w:uiPriority w:val="59"/>
    <w:rsid w:val="00FF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519A"/>
    <w:pPr>
      <w:spacing w:after="0" w:line="240" w:lineRule="auto"/>
    </w:pPr>
    <w:rPr>
      <w:sz w:val="20"/>
      <w:szCs w:val="20"/>
    </w:rPr>
  </w:style>
  <w:style w:type="character" w:customStyle="1" w:styleId="FootnoteTextChar">
    <w:name w:val="Footnote Text Char"/>
    <w:basedOn w:val="DefaultParagraphFont"/>
    <w:link w:val="FootnoteText"/>
    <w:uiPriority w:val="99"/>
    <w:rsid w:val="00FF519A"/>
    <w:rPr>
      <w:rFonts w:eastAsiaTheme="minorEastAsia"/>
      <w:sz w:val="20"/>
      <w:szCs w:val="20"/>
    </w:rPr>
  </w:style>
  <w:style w:type="character" w:styleId="FootnoteReference">
    <w:name w:val="footnote reference"/>
    <w:basedOn w:val="DefaultParagraphFont"/>
    <w:uiPriority w:val="99"/>
    <w:semiHidden/>
    <w:unhideWhenUsed/>
    <w:rsid w:val="00FF519A"/>
    <w:rPr>
      <w:vertAlign w:val="superscript"/>
    </w:rPr>
  </w:style>
  <w:style w:type="paragraph" w:customStyle="1" w:styleId="Default">
    <w:name w:val="Default"/>
    <w:rsid w:val="00AA79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70C6"/>
    <w:rPr>
      <w:color w:val="0000FF" w:themeColor="hyperlink"/>
      <w:u w:val="single"/>
    </w:rPr>
  </w:style>
  <w:style w:type="paragraph" w:styleId="PlainText">
    <w:name w:val="Plain Text"/>
    <w:basedOn w:val="Normal"/>
    <w:link w:val="PlainTextChar"/>
    <w:uiPriority w:val="99"/>
    <w:unhideWhenUsed/>
    <w:rsid w:val="00C94F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F25"/>
    <w:rPr>
      <w:rFonts w:ascii="Consolas" w:eastAsiaTheme="minorEastAsia" w:hAnsi="Consolas"/>
      <w:sz w:val="21"/>
      <w:szCs w:val="21"/>
    </w:rPr>
  </w:style>
  <w:style w:type="character" w:customStyle="1" w:styleId="NoSpacingChar">
    <w:name w:val="No Spacing Char"/>
    <w:basedOn w:val="DefaultParagraphFont"/>
    <w:link w:val="NoSpacing"/>
    <w:uiPriority w:val="1"/>
    <w:rsid w:val="009128B9"/>
  </w:style>
  <w:style w:type="character" w:styleId="CommentReference">
    <w:name w:val="annotation reference"/>
    <w:basedOn w:val="DefaultParagraphFont"/>
    <w:uiPriority w:val="99"/>
    <w:semiHidden/>
    <w:unhideWhenUsed/>
    <w:rsid w:val="006E02CB"/>
    <w:rPr>
      <w:sz w:val="18"/>
      <w:szCs w:val="18"/>
    </w:rPr>
  </w:style>
  <w:style w:type="paragraph" w:styleId="CommentText">
    <w:name w:val="annotation text"/>
    <w:basedOn w:val="Normal"/>
    <w:link w:val="CommentTextChar"/>
    <w:uiPriority w:val="99"/>
    <w:semiHidden/>
    <w:unhideWhenUsed/>
    <w:rsid w:val="006E02CB"/>
    <w:pPr>
      <w:spacing w:line="240" w:lineRule="auto"/>
    </w:pPr>
    <w:rPr>
      <w:sz w:val="24"/>
      <w:szCs w:val="24"/>
    </w:rPr>
  </w:style>
  <w:style w:type="character" w:customStyle="1" w:styleId="CommentTextChar">
    <w:name w:val="Comment Text Char"/>
    <w:basedOn w:val="DefaultParagraphFont"/>
    <w:link w:val="CommentText"/>
    <w:uiPriority w:val="99"/>
    <w:semiHidden/>
    <w:rsid w:val="006E02CB"/>
    <w:rPr>
      <w:sz w:val="24"/>
      <w:szCs w:val="24"/>
    </w:rPr>
  </w:style>
  <w:style w:type="paragraph" w:styleId="CommentSubject">
    <w:name w:val="annotation subject"/>
    <w:basedOn w:val="CommentText"/>
    <w:next w:val="CommentText"/>
    <w:link w:val="CommentSubjectChar"/>
    <w:uiPriority w:val="99"/>
    <w:semiHidden/>
    <w:unhideWhenUsed/>
    <w:rsid w:val="006E02CB"/>
    <w:rPr>
      <w:b/>
      <w:bCs/>
      <w:sz w:val="20"/>
      <w:szCs w:val="20"/>
    </w:rPr>
  </w:style>
  <w:style w:type="character" w:customStyle="1" w:styleId="CommentSubjectChar">
    <w:name w:val="Comment Subject Char"/>
    <w:basedOn w:val="CommentTextChar"/>
    <w:link w:val="CommentSubject"/>
    <w:uiPriority w:val="99"/>
    <w:semiHidden/>
    <w:rsid w:val="006E02CB"/>
    <w:rPr>
      <w:b/>
      <w:bCs/>
      <w:sz w:val="20"/>
      <w:szCs w:val="20"/>
    </w:rPr>
  </w:style>
  <w:style w:type="paragraph" w:styleId="NormalWeb">
    <w:name w:val="Normal (Web)"/>
    <w:basedOn w:val="Normal"/>
    <w:uiPriority w:val="99"/>
    <w:unhideWhenUsed/>
    <w:rsid w:val="00C20B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F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C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C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C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0C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0C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0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0C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70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61"/>
  </w:style>
  <w:style w:type="paragraph" w:styleId="Footer">
    <w:name w:val="footer"/>
    <w:basedOn w:val="Normal"/>
    <w:link w:val="FooterChar"/>
    <w:uiPriority w:val="99"/>
    <w:unhideWhenUsed/>
    <w:rsid w:val="0017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61"/>
  </w:style>
  <w:style w:type="paragraph" w:styleId="NoSpacing">
    <w:name w:val="No Spacing"/>
    <w:link w:val="NoSpacingChar"/>
    <w:uiPriority w:val="1"/>
    <w:qFormat/>
    <w:rsid w:val="00170C61"/>
    <w:pPr>
      <w:spacing w:after="0" w:line="240" w:lineRule="auto"/>
    </w:pPr>
  </w:style>
  <w:style w:type="character" w:customStyle="1" w:styleId="Heading1Char">
    <w:name w:val="Heading 1 Char"/>
    <w:basedOn w:val="DefaultParagraphFont"/>
    <w:link w:val="Heading1"/>
    <w:uiPriority w:val="9"/>
    <w:rsid w:val="00170C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0C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C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0C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0C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0C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0C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0C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70C6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7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61"/>
    <w:rPr>
      <w:rFonts w:ascii="Tahoma" w:hAnsi="Tahoma" w:cs="Tahoma"/>
      <w:sz w:val="16"/>
      <w:szCs w:val="16"/>
    </w:rPr>
  </w:style>
  <w:style w:type="paragraph" w:styleId="ListParagraph">
    <w:name w:val="List Paragraph"/>
    <w:basedOn w:val="Normal"/>
    <w:uiPriority w:val="34"/>
    <w:qFormat/>
    <w:rsid w:val="00570FCA"/>
    <w:pPr>
      <w:ind w:left="720"/>
      <w:contextualSpacing/>
    </w:pPr>
  </w:style>
  <w:style w:type="table" w:styleId="TableGrid">
    <w:name w:val="Table Grid"/>
    <w:basedOn w:val="TableNormal"/>
    <w:uiPriority w:val="59"/>
    <w:rsid w:val="00FF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519A"/>
    <w:pPr>
      <w:spacing w:after="0" w:line="240" w:lineRule="auto"/>
    </w:pPr>
    <w:rPr>
      <w:sz w:val="20"/>
      <w:szCs w:val="20"/>
    </w:rPr>
  </w:style>
  <w:style w:type="character" w:customStyle="1" w:styleId="FootnoteTextChar">
    <w:name w:val="Footnote Text Char"/>
    <w:basedOn w:val="DefaultParagraphFont"/>
    <w:link w:val="FootnoteText"/>
    <w:uiPriority w:val="99"/>
    <w:rsid w:val="00FF519A"/>
    <w:rPr>
      <w:rFonts w:eastAsiaTheme="minorEastAsia"/>
      <w:sz w:val="20"/>
      <w:szCs w:val="20"/>
    </w:rPr>
  </w:style>
  <w:style w:type="character" w:styleId="FootnoteReference">
    <w:name w:val="footnote reference"/>
    <w:basedOn w:val="DefaultParagraphFont"/>
    <w:uiPriority w:val="99"/>
    <w:semiHidden/>
    <w:unhideWhenUsed/>
    <w:rsid w:val="00FF519A"/>
    <w:rPr>
      <w:vertAlign w:val="superscript"/>
    </w:rPr>
  </w:style>
  <w:style w:type="paragraph" w:customStyle="1" w:styleId="Default">
    <w:name w:val="Default"/>
    <w:rsid w:val="00AA79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70C6"/>
    <w:rPr>
      <w:color w:val="0000FF" w:themeColor="hyperlink"/>
      <w:u w:val="single"/>
    </w:rPr>
  </w:style>
  <w:style w:type="paragraph" w:styleId="PlainText">
    <w:name w:val="Plain Text"/>
    <w:basedOn w:val="Normal"/>
    <w:link w:val="PlainTextChar"/>
    <w:uiPriority w:val="99"/>
    <w:unhideWhenUsed/>
    <w:rsid w:val="00C94F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F25"/>
    <w:rPr>
      <w:rFonts w:ascii="Consolas" w:eastAsiaTheme="minorEastAsia" w:hAnsi="Consolas"/>
      <w:sz w:val="21"/>
      <w:szCs w:val="21"/>
    </w:rPr>
  </w:style>
  <w:style w:type="character" w:customStyle="1" w:styleId="NoSpacingChar">
    <w:name w:val="No Spacing Char"/>
    <w:basedOn w:val="DefaultParagraphFont"/>
    <w:link w:val="NoSpacing"/>
    <w:uiPriority w:val="1"/>
    <w:rsid w:val="009128B9"/>
  </w:style>
  <w:style w:type="character" w:styleId="CommentReference">
    <w:name w:val="annotation reference"/>
    <w:basedOn w:val="DefaultParagraphFont"/>
    <w:uiPriority w:val="99"/>
    <w:semiHidden/>
    <w:unhideWhenUsed/>
    <w:rsid w:val="006E02CB"/>
    <w:rPr>
      <w:sz w:val="18"/>
      <w:szCs w:val="18"/>
    </w:rPr>
  </w:style>
  <w:style w:type="paragraph" w:styleId="CommentText">
    <w:name w:val="annotation text"/>
    <w:basedOn w:val="Normal"/>
    <w:link w:val="CommentTextChar"/>
    <w:uiPriority w:val="99"/>
    <w:semiHidden/>
    <w:unhideWhenUsed/>
    <w:rsid w:val="006E02CB"/>
    <w:pPr>
      <w:spacing w:line="240" w:lineRule="auto"/>
    </w:pPr>
    <w:rPr>
      <w:sz w:val="24"/>
      <w:szCs w:val="24"/>
    </w:rPr>
  </w:style>
  <w:style w:type="character" w:customStyle="1" w:styleId="CommentTextChar">
    <w:name w:val="Comment Text Char"/>
    <w:basedOn w:val="DefaultParagraphFont"/>
    <w:link w:val="CommentText"/>
    <w:uiPriority w:val="99"/>
    <w:semiHidden/>
    <w:rsid w:val="006E02CB"/>
    <w:rPr>
      <w:sz w:val="24"/>
      <w:szCs w:val="24"/>
    </w:rPr>
  </w:style>
  <w:style w:type="paragraph" w:styleId="CommentSubject">
    <w:name w:val="annotation subject"/>
    <w:basedOn w:val="CommentText"/>
    <w:next w:val="CommentText"/>
    <w:link w:val="CommentSubjectChar"/>
    <w:uiPriority w:val="99"/>
    <w:semiHidden/>
    <w:unhideWhenUsed/>
    <w:rsid w:val="006E02CB"/>
    <w:rPr>
      <w:b/>
      <w:bCs/>
      <w:sz w:val="20"/>
      <w:szCs w:val="20"/>
    </w:rPr>
  </w:style>
  <w:style w:type="character" w:customStyle="1" w:styleId="CommentSubjectChar">
    <w:name w:val="Comment Subject Char"/>
    <w:basedOn w:val="CommentTextChar"/>
    <w:link w:val="CommentSubject"/>
    <w:uiPriority w:val="99"/>
    <w:semiHidden/>
    <w:rsid w:val="006E02CB"/>
    <w:rPr>
      <w:b/>
      <w:bCs/>
      <w:sz w:val="20"/>
      <w:szCs w:val="20"/>
    </w:rPr>
  </w:style>
  <w:style w:type="paragraph" w:styleId="NormalWeb">
    <w:name w:val="Normal (Web)"/>
    <w:basedOn w:val="Normal"/>
    <w:uiPriority w:val="99"/>
    <w:unhideWhenUsed/>
    <w:rsid w:val="00C20B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2363">
      <w:bodyDiv w:val="1"/>
      <w:marLeft w:val="0"/>
      <w:marRight w:val="0"/>
      <w:marTop w:val="0"/>
      <w:marBottom w:val="0"/>
      <w:divBdr>
        <w:top w:val="none" w:sz="0" w:space="0" w:color="auto"/>
        <w:left w:val="none" w:sz="0" w:space="0" w:color="auto"/>
        <w:bottom w:val="none" w:sz="0" w:space="0" w:color="auto"/>
        <w:right w:val="none" w:sz="0" w:space="0" w:color="auto"/>
      </w:divBdr>
    </w:div>
    <w:div w:id="1641373899">
      <w:bodyDiv w:val="1"/>
      <w:marLeft w:val="0"/>
      <w:marRight w:val="0"/>
      <w:marTop w:val="0"/>
      <w:marBottom w:val="0"/>
      <w:divBdr>
        <w:top w:val="none" w:sz="0" w:space="0" w:color="auto"/>
        <w:left w:val="none" w:sz="0" w:space="0" w:color="auto"/>
        <w:bottom w:val="none" w:sz="0" w:space="0" w:color="auto"/>
        <w:right w:val="none" w:sz="0" w:space="0" w:color="auto"/>
      </w:divBdr>
    </w:div>
    <w:div w:id="2086536900">
      <w:bodyDiv w:val="1"/>
      <w:marLeft w:val="0"/>
      <w:marRight w:val="0"/>
      <w:marTop w:val="0"/>
      <w:marBottom w:val="0"/>
      <w:divBdr>
        <w:top w:val="none" w:sz="0" w:space="0" w:color="auto"/>
        <w:left w:val="none" w:sz="0" w:space="0" w:color="auto"/>
        <w:bottom w:val="none" w:sz="0" w:space="0" w:color="auto"/>
        <w:right w:val="none" w:sz="0" w:space="0" w:color="auto"/>
      </w:divBdr>
    </w:div>
    <w:div w:id="21431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cid:image001.gif@01CD95AA.441AABF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B7993-E905-4D39-B0CE-8C39E4E1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13088</Words>
  <Characters>74603</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Division of Mental Health</vt:lpstr>
    </vt:vector>
  </TitlesOfParts>
  <Company>State of Illinois</Company>
  <LinksUpToDate>false</LinksUpToDate>
  <CharactersWithSpaces>87516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dc:title>
  <dc:subject>Williams Semi-Annual Report #8</dc:subject>
  <dc:creator>debra.clemons</dc:creator>
  <cp:lastModifiedBy>Nasir, Muhammad</cp:lastModifiedBy>
  <cp:revision>2</cp:revision>
  <cp:lastPrinted>2015-05-28T20:52:00Z</cp:lastPrinted>
  <dcterms:created xsi:type="dcterms:W3CDTF">2015-07-02T14:25:00Z</dcterms:created>
  <dcterms:modified xsi:type="dcterms:W3CDTF">2015-07-02T14:25:00Z</dcterms:modified>
</cp:coreProperties>
</file>