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3F3" w:rsidRDefault="002D33F3" w:rsidP="00AC610F">
      <w:pPr>
        <w:pStyle w:val="NoSpacing"/>
      </w:pPr>
    </w:p>
    <w:p w:rsidR="002D33F3" w:rsidRDefault="002D33F3" w:rsidP="002D33F3">
      <w:pPr>
        <w:jc w:val="center"/>
        <w:rPr>
          <w:b/>
          <w:sz w:val="48"/>
          <w:szCs w:val="48"/>
        </w:rPr>
      </w:pPr>
    </w:p>
    <w:p w:rsidR="002D33F3" w:rsidRPr="002D33F3" w:rsidRDefault="002D33F3" w:rsidP="002D33F3">
      <w:pPr>
        <w:jc w:val="center"/>
        <w:rPr>
          <w:b/>
          <w:sz w:val="56"/>
          <w:szCs w:val="56"/>
        </w:rPr>
      </w:pPr>
      <w:r w:rsidRPr="002D33F3">
        <w:rPr>
          <w:b/>
          <w:sz w:val="56"/>
          <w:szCs w:val="56"/>
        </w:rPr>
        <w:t>Williams vs. Rauner Consent Decree</w:t>
      </w:r>
    </w:p>
    <w:p w:rsidR="002D33F3" w:rsidRPr="002D33F3" w:rsidRDefault="002D33F3" w:rsidP="002D33F3">
      <w:pPr>
        <w:jc w:val="center"/>
        <w:rPr>
          <w:b/>
          <w:sz w:val="56"/>
          <w:szCs w:val="56"/>
        </w:rPr>
      </w:pPr>
      <w:r w:rsidRPr="002D33F3">
        <w:rPr>
          <w:b/>
          <w:sz w:val="56"/>
          <w:szCs w:val="56"/>
        </w:rPr>
        <w:t>Semi-Annual Report #14</w:t>
      </w:r>
    </w:p>
    <w:p w:rsidR="00361C04" w:rsidRDefault="002D33F3" w:rsidP="002D33F3">
      <w:pPr>
        <w:jc w:val="center"/>
        <w:rPr>
          <w:b/>
          <w:sz w:val="56"/>
          <w:szCs w:val="56"/>
        </w:rPr>
      </w:pPr>
      <w:r w:rsidRPr="002D33F3">
        <w:rPr>
          <w:b/>
          <w:sz w:val="56"/>
          <w:szCs w:val="56"/>
        </w:rPr>
        <w:t>July 1, 2018 – June 30, 2018</w:t>
      </w:r>
    </w:p>
    <w:p w:rsidR="005D330D" w:rsidRPr="00AC610F" w:rsidRDefault="00361C04" w:rsidP="002D33F3">
      <w:pPr>
        <w:jc w:val="center"/>
        <w:rPr>
          <w:b/>
          <w:sz w:val="24"/>
          <w:szCs w:val="24"/>
        </w:rPr>
      </w:pPr>
      <w:r w:rsidRPr="00AC610F">
        <w:rPr>
          <w:b/>
          <w:sz w:val="28"/>
          <w:szCs w:val="28"/>
        </w:rPr>
        <w:t>Submitted September 24, 2018</w:t>
      </w:r>
      <w:r w:rsidR="005D330D" w:rsidRPr="00361C04">
        <w:rPr>
          <w:b/>
          <w:sz w:val="24"/>
          <w:szCs w:val="24"/>
        </w:rPr>
        <w:br w:type="page"/>
      </w:r>
    </w:p>
    <w:p w:rsidR="00E421C4" w:rsidRDefault="00532732">
      <w:pPr>
        <w:rPr>
          <w:sz w:val="24"/>
          <w:szCs w:val="24"/>
        </w:rPr>
      </w:pPr>
      <w:r w:rsidRPr="00532732">
        <w:rPr>
          <w:b/>
          <w:sz w:val="24"/>
          <w:szCs w:val="24"/>
        </w:rPr>
        <w:t>Community-Based Services and Housing Capacity Expansion Requirements</w:t>
      </w:r>
    </w:p>
    <w:p w:rsidR="00532732" w:rsidRPr="00C6740F" w:rsidRDefault="00532732"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b/>
          <w:i/>
          <w:sz w:val="24"/>
          <w:szCs w:val="24"/>
        </w:rPr>
      </w:pPr>
      <w:r w:rsidRPr="00C6740F">
        <w:rPr>
          <w:i/>
          <w:sz w:val="24"/>
          <w:szCs w:val="24"/>
        </w:rPr>
        <w:t>Defendants provide Plaintiffs with the opportunity to receive the services they need in the most integrated setting appropriate and to promote and ensure the development of integrated settings that maximize independence, choice, opportunities to develop and use independent living skills, and afford the opportunity to live similar lives to individuals without disabilities</w:t>
      </w:r>
      <w:r w:rsidRPr="00C6740F">
        <w:rPr>
          <w:b/>
          <w:i/>
          <w:sz w:val="24"/>
          <w:szCs w:val="24"/>
        </w:rPr>
        <w:t>.</w:t>
      </w:r>
    </w:p>
    <w:p w:rsidR="00C6740F" w:rsidRPr="00347F62" w:rsidRDefault="00ED656D" w:rsidP="00C05E79">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pacing w:after="0"/>
      </w:pPr>
      <w:r>
        <w:t xml:space="preserve">This </w:t>
      </w:r>
      <w:r w:rsidR="00665845">
        <w:t xml:space="preserve">Semi-Annual Report #14 covers </w:t>
      </w:r>
      <w:r w:rsidR="002D33F3">
        <w:t>a</w:t>
      </w:r>
      <w:r w:rsidR="00665845">
        <w:t xml:space="preserve"> </w:t>
      </w:r>
      <w:r w:rsidR="00BA72CE">
        <w:t>six-month</w:t>
      </w:r>
      <w:r w:rsidR="00665845">
        <w:t xml:space="preserve"> reporting period for the second half of SFY18, January 1, 2018 – June 30, 2018.  </w:t>
      </w:r>
      <w:r w:rsidR="00C661BE" w:rsidRPr="00347F62">
        <w:t>During this reporting period 19</w:t>
      </w:r>
      <w:r w:rsidR="00227CEB">
        <w:t>4</w:t>
      </w:r>
      <w:r w:rsidR="00C661BE" w:rsidRPr="00347F62">
        <w:t xml:space="preserve"> Class Members transition</w:t>
      </w:r>
      <w:r w:rsidR="00CA4CE1">
        <w:t xml:space="preserve">ed </w:t>
      </w:r>
      <w:r w:rsidR="00C661BE" w:rsidRPr="00347F62">
        <w:t xml:space="preserve">to community-based living environments (PSH and Supervised Residential settings) through efforts of the designated Williams </w:t>
      </w:r>
      <w:r w:rsidR="00CC6771">
        <w:t>C</w:t>
      </w:r>
      <w:r w:rsidR="00C661BE" w:rsidRPr="00347F62">
        <w:t xml:space="preserve">ommunity </w:t>
      </w:r>
      <w:r w:rsidR="00CC6771">
        <w:t>M</w:t>
      </w:r>
      <w:r w:rsidR="00C661BE" w:rsidRPr="00347F62">
        <w:t xml:space="preserve">ental </w:t>
      </w:r>
      <w:r w:rsidR="00CC6771">
        <w:t>H</w:t>
      </w:r>
      <w:r w:rsidR="00C661BE" w:rsidRPr="00347F62">
        <w:t xml:space="preserve">ealth </w:t>
      </w:r>
      <w:r w:rsidR="00CC6771">
        <w:t>C</w:t>
      </w:r>
      <w:r w:rsidR="00C661BE" w:rsidRPr="00347F62">
        <w:t>enters</w:t>
      </w:r>
      <w:r w:rsidR="00CC6771">
        <w:t xml:space="preserve"> (“CMHCs”)</w:t>
      </w:r>
      <w:r w:rsidR="00C661BE" w:rsidRPr="00347F62">
        <w:t xml:space="preserve">.   There are 8 </w:t>
      </w:r>
      <w:r w:rsidR="00C661BE" w:rsidRPr="00347F62">
        <w:rPr>
          <w:u w:val="single"/>
        </w:rPr>
        <w:t>full array</w:t>
      </w:r>
      <w:r w:rsidR="00C661BE" w:rsidRPr="00347F62">
        <w:t xml:space="preserve"> </w:t>
      </w:r>
      <w:r w:rsidR="00137802" w:rsidRPr="00347F62">
        <w:t xml:space="preserve">service </w:t>
      </w:r>
      <w:r w:rsidR="00C661BE" w:rsidRPr="00347F62">
        <w:t>CMHCs (Thresholds, Trilogy, Association House, Community Counseling Centers of Chicago (C4), Human Resource Development Institute (HRDI), Grand Prairie Services (GPS), Heritage Behavioral Health Center and Human Service Center (HSC)</w:t>
      </w:r>
      <w:r w:rsidR="001D3C30">
        <w:t>)</w:t>
      </w:r>
      <w:r w:rsidR="00C661BE" w:rsidRPr="00347F62">
        <w:t xml:space="preserve"> – </w:t>
      </w:r>
      <w:r w:rsidR="00137802" w:rsidRPr="00347F62">
        <w:t>that</w:t>
      </w:r>
      <w:r w:rsidR="00C661BE" w:rsidRPr="00347F62">
        <w:t xml:space="preserve"> offer a full array of Medicaid billable </w:t>
      </w:r>
      <w:r w:rsidR="00137802" w:rsidRPr="00347F62">
        <w:t xml:space="preserve">services (including ACT and CST) </w:t>
      </w:r>
      <w:r w:rsidR="00C661BE" w:rsidRPr="00347F62">
        <w:t>and non-billable services</w:t>
      </w:r>
      <w:r w:rsidR="00137802" w:rsidRPr="00347F62">
        <w:t>;</w:t>
      </w:r>
      <w:r w:rsidR="00C661BE" w:rsidRPr="00347F62">
        <w:t xml:space="preserve"> and </w:t>
      </w:r>
      <w:r w:rsidR="00137802" w:rsidRPr="00347F62">
        <w:t>8</w:t>
      </w:r>
      <w:r w:rsidR="00C661BE" w:rsidRPr="00347F62">
        <w:t xml:space="preserve"> </w:t>
      </w:r>
      <w:r w:rsidR="00C661BE" w:rsidRPr="00347F62">
        <w:rPr>
          <w:u w:val="single"/>
        </w:rPr>
        <w:t>transition only</w:t>
      </w:r>
      <w:r w:rsidR="00C661BE" w:rsidRPr="00347F62">
        <w:t xml:space="preserve"> CMHCs </w:t>
      </w:r>
      <w:r w:rsidR="00137802" w:rsidRPr="00347F62">
        <w:t>(Alexian Center, Association for Individual Development (AID), Cornerstone Services, Ecker Center, Kenneth Young Center, Lake County Health Department, Presence Behavioral Health and Trinity Services Inc.</w:t>
      </w:r>
      <w:r w:rsidR="001D3C30">
        <w:t>)</w:t>
      </w:r>
      <w:r w:rsidR="00137802" w:rsidRPr="00347F62">
        <w:t xml:space="preserve">, that provide services within their certifications </w:t>
      </w:r>
      <w:r w:rsidR="001D3C30">
        <w:t>but do not offer</w:t>
      </w:r>
      <w:r w:rsidR="00137802" w:rsidRPr="00347F62">
        <w:t xml:space="preserve"> ACT and CST.  89% of the Class Members who transitioned this reporting period (1</w:t>
      </w:r>
      <w:r w:rsidR="0039665B">
        <w:t>73</w:t>
      </w:r>
      <w:r w:rsidR="00137802" w:rsidRPr="00347F62">
        <w:t>/19</w:t>
      </w:r>
      <w:r w:rsidR="0039665B">
        <w:t>4</w:t>
      </w:r>
      <w:r w:rsidR="00137802" w:rsidRPr="00347F62">
        <w:t>) moved into their own lease held apartments (includ</w:t>
      </w:r>
      <w:r w:rsidR="001D3C30">
        <w:t>ing</w:t>
      </w:r>
      <w:r w:rsidR="00137802" w:rsidRPr="00347F62">
        <w:t xml:space="preserve"> Cluster Housing).  </w:t>
      </w:r>
      <w:r w:rsidR="0039665B">
        <w:t>21</w:t>
      </w:r>
      <w:r w:rsidR="00137802" w:rsidRPr="00347F62">
        <w:t xml:space="preserve"> of the Class Members </w:t>
      </w:r>
      <w:r w:rsidR="0039665B">
        <w:t xml:space="preserve">(11%) </w:t>
      </w:r>
      <w:r w:rsidR="00137802" w:rsidRPr="00347F62">
        <w:t xml:space="preserve">who transitioned moved into a </w:t>
      </w:r>
      <w:r w:rsidR="001D3C30">
        <w:t>C</w:t>
      </w:r>
      <w:r w:rsidR="00137802" w:rsidRPr="00347F62">
        <w:t>ommunity-</w:t>
      </w:r>
      <w:r w:rsidR="001D3C30">
        <w:t>B</w:t>
      </w:r>
      <w:r w:rsidR="00137802" w:rsidRPr="00347F62">
        <w:t xml:space="preserve">ased Supervised Residential setting.    In addition, </w:t>
      </w:r>
      <w:r w:rsidR="001D3C30">
        <w:t xml:space="preserve">33 (17%) </w:t>
      </w:r>
      <w:r w:rsidR="00137802" w:rsidRPr="00347F62">
        <w:t xml:space="preserve">Class Members identified by the CMHCs as needing more assistance to </w:t>
      </w:r>
      <w:r w:rsidR="001D3C30">
        <w:t>assert</w:t>
      </w:r>
      <w:r w:rsidR="00137802" w:rsidRPr="00347F62">
        <w:t xml:space="preserve"> independence and choice pre</w:t>
      </w:r>
      <w:r w:rsidR="00F2200F" w:rsidRPr="00347F62">
        <w:t>-</w:t>
      </w:r>
      <w:r w:rsidR="00137802" w:rsidRPr="00347F62">
        <w:t xml:space="preserve">transition, </w:t>
      </w:r>
      <w:r w:rsidR="001D3C30">
        <w:t>received</w:t>
      </w:r>
      <w:r w:rsidR="00137802" w:rsidRPr="00347F62">
        <w:t xml:space="preserve"> In-Home Recovery and Support</w:t>
      </w:r>
      <w:r w:rsidR="00F2200F" w:rsidRPr="00347F62">
        <w:t xml:space="preserve"> (IHRS)</w:t>
      </w:r>
      <w:r w:rsidR="00137802" w:rsidRPr="00347F62">
        <w:t>.</w:t>
      </w:r>
      <w:r w:rsidR="00F2200F" w:rsidRPr="00347F62">
        <w:t xml:space="preserve">    Since inception of IHRS in August 2017, </w:t>
      </w:r>
      <w:r w:rsidR="001D3C30">
        <w:t xml:space="preserve">a total of </w:t>
      </w:r>
      <w:r w:rsidR="00F2200F" w:rsidRPr="00347F62">
        <w:t>85 Class Members have been referred</w:t>
      </w:r>
      <w:r w:rsidR="001D3C30">
        <w:t xml:space="preserve"> for IHRS services, and</w:t>
      </w:r>
      <w:r w:rsidR="00F2200F" w:rsidRPr="00347F62">
        <w:t xml:space="preserve"> 60 Class Members (7</w:t>
      </w:r>
      <w:r w:rsidR="00AA4816">
        <w:t>1</w:t>
      </w:r>
      <w:r w:rsidR="00F2200F" w:rsidRPr="00347F62">
        <w:t>%</w:t>
      </w:r>
      <w:r w:rsidR="001D3C30">
        <w:t xml:space="preserve"> of those referred</w:t>
      </w:r>
      <w:r w:rsidR="00F2200F" w:rsidRPr="00347F62">
        <w:t>) have received IHRS in some capacity.    25 Class Members (2</w:t>
      </w:r>
      <w:r w:rsidR="0039665B">
        <w:t>9</w:t>
      </w:r>
      <w:r w:rsidR="00F2200F" w:rsidRPr="00347F62">
        <w:t>%</w:t>
      </w:r>
      <w:r w:rsidR="001D3C30">
        <w:t xml:space="preserve"> of those referred</w:t>
      </w:r>
      <w:r w:rsidR="00F2200F" w:rsidRPr="00347F62">
        <w:t xml:space="preserve">) either refused the offer of </w:t>
      </w:r>
      <w:r w:rsidR="00CA4CE1">
        <w:t xml:space="preserve">IHRS </w:t>
      </w:r>
      <w:r w:rsidR="00F2200F" w:rsidRPr="00347F62">
        <w:t>assistance or did not transition out of Long Term Care within the six-month timeframe (</w:t>
      </w:r>
      <w:r w:rsidR="00F12525" w:rsidRPr="00347F62">
        <w:t>pre- and</w:t>
      </w:r>
      <w:r w:rsidR="00F2200F" w:rsidRPr="00347F62">
        <w:t xml:space="preserve">/or post transition) for program participation.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920109">
        <w:rPr>
          <w:i/>
          <w:sz w:val="24"/>
          <w:szCs w:val="24"/>
        </w:rPr>
        <w:t>For purposes of this Decree, PSH includes scattered-site housing as a well as apartments clustered in a single building, but no more than 25% of the units in one building with more than 4 units may be used to serve PSH clients known to have mental illness. For buildings with 2 to 4 units, no more than 50% of the units may be used to serve PSH clients known to have mental illness. However, during first 5 years after finalization of the IP, up to 75 class members may be placed in buildings where more than 25% of the units serve PSH clients known to have MI if those buildings were used to serve PSH clients prior to March 1, 2010. After first 5 years following the finalization of the IP, all class members served in PSH shall be offered the opportunity to reside in buildings that comply with 25% or 50% unit</w:t>
      </w:r>
      <w:r w:rsidR="000749C2" w:rsidRPr="00920109">
        <w:rPr>
          <w:i/>
          <w:sz w:val="24"/>
          <w:szCs w:val="24"/>
        </w:rPr>
        <w:t>s</w:t>
      </w:r>
      <w:r w:rsidRPr="00920109">
        <w:rPr>
          <w:i/>
          <w:sz w:val="24"/>
          <w:szCs w:val="24"/>
        </w:rPr>
        <w:t xml:space="preserve"> limit set forth above in this subparagraph.</w:t>
      </w:r>
    </w:p>
    <w:p w:rsidR="00347F62" w:rsidRPr="00347F62" w:rsidRDefault="00A67F95" w:rsidP="00C05E79">
      <w:pPr>
        <w:pStyle w:val="Default"/>
        <w:spacing w:line="276" w:lineRule="auto"/>
        <w:rPr>
          <w:sz w:val="22"/>
          <w:szCs w:val="22"/>
        </w:rPr>
      </w:pPr>
      <w:r w:rsidRPr="00347F62">
        <w:rPr>
          <w:sz w:val="22"/>
          <w:szCs w:val="22"/>
        </w:rPr>
        <w:t xml:space="preserve">Catholic Charities and the Illinois Association of Community Action Agencies (IACCA) are the </w:t>
      </w:r>
      <w:r w:rsidR="00384F10" w:rsidRPr="00347F62">
        <w:rPr>
          <w:sz w:val="22"/>
          <w:szCs w:val="22"/>
        </w:rPr>
        <w:t xml:space="preserve">two </w:t>
      </w:r>
      <w:r w:rsidRPr="00347F62">
        <w:rPr>
          <w:sz w:val="22"/>
          <w:szCs w:val="22"/>
        </w:rPr>
        <w:t xml:space="preserve">Subsidy Administration </w:t>
      </w:r>
      <w:r w:rsidR="00384F10" w:rsidRPr="00347F62">
        <w:rPr>
          <w:sz w:val="22"/>
          <w:szCs w:val="22"/>
        </w:rPr>
        <w:t xml:space="preserve">(SAs) </w:t>
      </w:r>
      <w:r w:rsidRPr="00347F62">
        <w:rPr>
          <w:sz w:val="22"/>
          <w:szCs w:val="22"/>
        </w:rPr>
        <w:t xml:space="preserve">entities responsible for </w:t>
      </w:r>
      <w:r w:rsidR="00F5294C">
        <w:rPr>
          <w:sz w:val="22"/>
          <w:szCs w:val="22"/>
        </w:rPr>
        <w:t xml:space="preserve">the </w:t>
      </w:r>
      <w:r w:rsidRPr="00347F62">
        <w:rPr>
          <w:sz w:val="22"/>
          <w:szCs w:val="22"/>
        </w:rPr>
        <w:t>administrati</w:t>
      </w:r>
      <w:r w:rsidR="00F5294C">
        <w:rPr>
          <w:sz w:val="22"/>
          <w:szCs w:val="22"/>
        </w:rPr>
        <w:t>on</w:t>
      </w:r>
      <w:r w:rsidRPr="00347F62">
        <w:rPr>
          <w:sz w:val="22"/>
          <w:szCs w:val="22"/>
        </w:rPr>
        <w:t xml:space="preserve"> </w:t>
      </w:r>
      <w:r w:rsidR="00384F10" w:rsidRPr="00347F62">
        <w:rPr>
          <w:sz w:val="22"/>
          <w:szCs w:val="22"/>
        </w:rPr>
        <w:t>and</w:t>
      </w:r>
      <w:r w:rsidR="00BF68D9" w:rsidRPr="00347F62">
        <w:rPr>
          <w:sz w:val="22"/>
          <w:szCs w:val="22"/>
        </w:rPr>
        <w:t xml:space="preserve"> monitoring</w:t>
      </w:r>
      <w:r w:rsidR="00384F10" w:rsidRPr="00347F62">
        <w:rPr>
          <w:sz w:val="22"/>
          <w:szCs w:val="22"/>
        </w:rPr>
        <w:t xml:space="preserve"> </w:t>
      </w:r>
      <w:r w:rsidR="001D3C30">
        <w:rPr>
          <w:sz w:val="22"/>
          <w:szCs w:val="22"/>
        </w:rPr>
        <w:t xml:space="preserve">of </w:t>
      </w:r>
      <w:r w:rsidR="00BF68D9" w:rsidRPr="00347F62">
        <w:rPr>
          <w:sz w:val="22"/>
          <w:szCs w:val="22"/>
        </w:rPr>
        <w:t>General Revenue Funds’</w:t>
      </w:r>
      <w:r w:rsidR="001D3C30">
        <w:rPr>
          <w:sz w:val="22"/>
          <w:szCs w:val="22"/>
        </w:rPr>
        <w:t xml:space="preserve"> (GRF)</w:t>
      </w:r>
      <w:r w:rsidR="00BF68D9" w:rsidRPr="00347F62">
        <w:rPr>
          <w:sz w:val="22"/>
          <w:szCs w:val="22"/>
        </w:rPr>
        <w:t xml:space="preserve"> supported </w:t>
      </w:r>
      <w:r w:rsidR="00920109">
        <w:rPr>
          <w:sz w:val="22"/>
          <w:szCs w:val="22"/>
        </w:rPr>
        <w:t xml:space="preserve">Bridge Subsidies. </w:t>
      </w:r>
      <w:r w:rsidRPr="00347F62">
        <w:rPr>
          <w:sz w:val="22"/>
          <w:szCs w:val="22"/>
        </w:rPr>
        <w:t>These two entities</w:t>
      </w:r>
      <w:r w:rsidR="00384F10" w:rsidRPr="00347F62">
        <w:rPr>
          <w:sz w:val="22"/>
          <w:szCs w:val="22"/>
        </w:rPr>
        <w:t xml:space="preserve"> manage and </w:t>
      </w:r>
      <w:r w:rsidRPr="00347F62">
        <w:rPr>
          <w:sz w:val="22"/>
          <w:szCs w:val="22"/>
        </w:rPr>
        <w:t xml:space="preserve">track </w:t>
      </w:r>
      <w:r w:rsidR="00384F10" w:rsidRPr="00347F62">
        <w:rPr>
          <w:sz w:val="22"/>
          <w:szCs w:val="22"/>
        </w:rPr>
        <w:t>signed Housing A</w:t>
      </w:r>
      <w:r w:rsidR="00BF68D9" w:rsidRPr="00347F62">
        <w:rPr>
          <w:sz w:val="22"/>
          <w:szCs w:val="22"/>
        </w:rPr>
        <w:t>ssistance</w:t>
      </w:r>
      <w:r w:rsidR="00384F10" w:rsidRPr="00347F62">
        <w:rPr>
          <w:sz w:val="22"/>
          <w:szCs w:val="22"/>
        </w:rPr>
        <w:t xml:space="preserve"> Payment (H</w:t>
      </w:r>
      <w:r w:rsidR="00BF68D9" w:rsidRPr="00347F62">
        <w:rPr>
          <w:sz w:val="22"/>
          <w:szCs w:val="22"/>
        </w:rPr>
        <w:t>AP) contracts executed by the SA as a commitment to the rental balance, on approved units with leases</w:t>
      </w:r>
      <w:r w:rsidR="001D3C30">
        <w:rPr>
          <w:sz w:val="22"/>
          <w:szCs w:val="22"/>
        </w:rPr>
        <w:t xml:space="preserve"> signed and held</w:t>
      </w:r>
      <w:r w:rsidR="00BF68D9" w:rsidRPr="00347F62">
        <w:rPr>
          <w:sz w:val="22"/>
          <w:szCs w:val="22"/>
        </w:rPr>
        <w:t xml:space="preserve"> </w:t>
      </w:r>
      <w:r w:rsidR="00384F10" w:rsidRPr="00347F62">
        <w:rPr>
          <w:sz w:val="22"/>
          <w:szCs w:val="22"/>
        </w:rPr>
        <w:t xml:space="preserve">by </w:t>
      </w:r>
      <w:r w:rsidR="00BF68D9" w:rsidRPr="00347F62">
        <w:rPr>
          <w:sz w:val="22"/>
          <w:szCs w:val="22"/>
        </w:rPr>
        <w:t xml:space="preserve">the </w:t>
      </w:r>
      <w:r w:rsidR="00384F10" w:rsidRPr="00347F62">
        <w:rPr>
          <w:sz w:val="22"/>
          <w:szCs w:val="22"/>
        </w:rPr>
        <w:t>Class Members</w:t>
      </w:r>
      <w:r w:rsidR="00BF68D9" w:rsidRPr="00347F62">
        <w:rPr>
          <w:sz w:val="22"/>
          <w:szCs w:val="22"/>
        </w:rPr>
        <w:t xml:space="preserve">.   Through this effort the SA can directly </w:t>
      </w:r>
      <w:r w:rsidR="00384F10" w:rsidRPr="00347F62">
        <w:rPr>
          <w:sz w:val="22"/>
          <w:szCs w:val="22"/>
        </w:rPr>
        <w:t xml:space="preserve">track </w:t>
      </w:r>
      <w:r w:rsidR="00462303" w:rsidRPr="00347F62">
        <w:rPr>
          <w:sz w:val="22"/>
          <w:szCs w:val="22"/>
        </w:rPr>
        <w:t xml:space="preserve">the </w:t>
      </w:r>
      <w:r w:rsidR="00384F10" w:rsidRPr="00347F62">
        <w:rPr>
          <w:sz w:val="22"/>
          <w:szCs w:val="22"/>
        </w:rPr>
        <w:t xml:space="preserve">number of Class Members </w:t>
      </w:r>
      <w:r w:rsidR="00BF68D9" w:rsidRPr="00347F62">
        <w:rPr>
          <w:sz w:val="22"/>
          <w:szCs w:val="22"/>
        </w:rPr>
        <w:t>who are leased to reside</w:t>
      </w:r>
      <w:r w:rsidR="00384F10" w:rsidRPr="00347F62">
        <w:rPr>
          <w:sz w:val="22"/>
          <w:szCs w:val="22"/>
        </w:rPr>
        <w:t xml:space="preserve"> </w:t>
      </w:r>
      <w:r w:rsidR="00462303" w:rsidRPr="00347F62">
        <w:rPr>
          <w:sz w:val="22"/>
          <w:szCs w:val="22"/>
        </w:rPr>
        <w:t xml:space="preserve">in </w:t>
      </w:r>
      <w:r w:rsidR="00384F10" w:rsidRPr="00347F62">
        <w:rPr>
          <w:sz w:val="22"/>
          <w:szCs w:val="22"/>
        </w:rPr>
        <w:t>properties under a common roof</w:t>
      </w:r>
      <w:r w:rsidR="001D3C30">
        <w:rPr>
          <w:sz w:val="22"/>
          <w:szCs w:val="22"/>
        </w:rPr>
        <w:t>, thus ensuring the 25% and 50% limits are followed</w:t>
      </w:r>
      <w:r w:rsidR="00920109">
        <w:rPr>
          <w:sz w:val="22"/>
          <w:szCs w:val="22"/>
        </w:rPr>
        <w:t xml:space="preserve">. </w:t>
      </w:r>
      <w:r w:rsidR="00BF68D9" w:rsidRPr="00347F62">
        <w:rPr>
          <w:sz w:val="22"/>
          <w:szCs w:val="22"/>
        </w:rPr>
        <w:t xml:space="preserve">If a Class Member is adamant </w:t>
      </w:r>
      <w:r w:rsidR="001D3C30">
        <w:rPr>
          <w:sz w:val="22"/>
          <w:szCs w:val="22"/>
        </w:rPr>
        <w:t xml:space="preserve">in his or her wish </w:t>
      </w:r>
      <w:r w:rsidR="00BF68D9" w:rsidRPr="00347F62">
        <w:rPr>
          <w:sz w:val="22"/>
          <w:szCs w:val="22"/>
        </w:rPr>
        <w:t>to reside in a unit that is at it</w:t>
      </w:r>
      <w:r w:rsidR="00462303" w:rsidRPr="00347F62">
        <w:rPr>
          <w:sz w:val="22"/>
          <w:szCs w:val="22"/>
        </w:rPr>
        <w:t>s</w:t>
      </w:r>
      <w:r w:rsidR="00BF68D9" w:rsidRPr="00347F62">
        <w:rPr>
          <w:sz w:val="22"/>
          <w:szCs w:val="22"/>
        </w:rPr>
        <w:t xml:space="preserve"> 25%</w:t>
      </w:r>
      <w:r w:rsidR="001D3C30">
        <w:rPr>
          <w:sz w:val="22"/>
          <w:szCs w:val="22"/>
        </w:rPr>
        <w:t xml:space="preserve"> or 50%</w:t>
      </w:r>
      <w:r w:rsidR="00BF68D9" w:rsidRPr="00347F62">
        <w:rPr>
          <w:sz w:val="22"/>
          <w:szCs w:val="22"/>
        </w:rPr>
        <w:t xml:space="preserve"> limit, an exception is </w:t>
      </w:r>
      <w:r w:rsidR="001D3C30">
        <w:rPr>
          <w:sz w:val="22"/>
          <w:szCs w:val="22"/>
        </w:rPr>
        <w:t xml:space="preserve">typically </w:t>
      </w:r>
      <w:r w:rsidR="00BF68D9" w:rsidRPr="00347F62">
        <w:rPr>
          <w:sz w:val="22"/>
          <w:szCs w:val="22"/>
        </w:rPr>
        <w:t xml:space="preserve">granted based on </w:t>
      </w:r>
      <w:r w:rsidR="00462303" w:rsidRPr="00347F62">
        <w:rPr>
          <w:sz w:val="22"/>
          <w:szCs w:val="22"/>
        </w:rPr>
        <w:t xml:space="preserve">consumer </w:t>
      </w:r>
      <w:r w:rsidR="00920109">
        <w:rPr>
          <w:sz w:val="22"/>
          <w:szCs w:val="22"/>
        </w:rPr>
        <w:t xml:space="preserve">choice. </w:t>
      </w:r>
      <w:r w:rsidRPr="00347F62">
        <w:rPr>
          <w:sz w:val="22"/>
          <w:szCs w:val="22"/>
        </w:rPr>
        <w:t xml:space="preserve">Due to the conversion of many Class Members from </w:t>
      </w:r>
      <w:r w:rsidR="0039665B">
        <w:rPr>
          <w:sz w:val="22"/>
          <w:szCs w:val="22"/>
        </w:rPr>
        <w:t>the State’s</w:t>
      </w:r>
      <w:r w:rsidR="00F2200F" w:rsidRPr="00347F62">
        <w:rPr>
          <w:sz w:val="22"/>
          <w:szCs w:val="22"/>
        </w:rPr>
        <w:t xml:space="preserve"> </w:t>
      </w:r>
      <w:r w:rsidRPr="00347F62">
        <w:rPr>
          <w:sz w:val="22"/>
          <w:szCs w:val="22"/>
        </w:rPr>
        <w:t>Bridge Subsidy (GRF) to permanent rental vouchers (Housing Choice, State Referral Network, HUD 811), the number of Class Member</w:t>
      </w:r>
      <w:r w:rsidR="0039665B">
        <w:rPr>
          <w:sz w:val="22"/>
          <w:szCs w:val="22"/>
        </w:rPr>
        <w:t>s</w:t>
      </w:r>
      <w:r w:rsidRPr="00347F62">
        <w:rPr>
          <w:sz w:val="22"/>
          <w:szCs w:val="22"/>
        </w:rPr>
        <w:t xml:space="preserve"> who are</w:t>
      </w:r>
      <w:r w:rsidR="00462303" w:rsidRPr="00347F62">
        <w:rPr>
          <w:sz w:val="22"/>
          <w:szCs w:val="22"/>
        </w:rPr>
        <w:t xml:space="preserve"> currently</w:t>
      </w:r>
      <w:r w:rsidRPr="00347F62">
        <w:rPr>
          <w:sz w:val="22"/>
          <w:szCs w:val="22"/>
        </w:rPr>
        <w:t xml:space="preserve"> reliant o</w:t>
      </w:r>
      <w:r w:rsidR="00462303" w:rsidRPr="00347F62">
        <w:rPr>
          <w:sz w:val="22"/>
          <w:szCs w:val="22"/>
        </w:rPr>
        <w:t>n a</w:t>
      </w:r>
      <w:r w:rsidRPr="00347F62">
        <w:rPr>
          <w:sz w:val="22"/>
          <w:szCs w:val="22"/>
        </w:rPr>
        <w:t xml:space="preserve"> Bridge Subsid</w:t>
      </w:r>
      <w:r w:rsidR="00462303" w:rsidRPr="00347F62">
        <w:rPr>
          <w:sz w:val="22"/>
          <w:szCs w:val="22"/>
        </w:rPr>
        <w:t>y</w:t>
      </w:r>
      <w:r w:rsidRPr="00347F62">
        <w:rPr>
          <w:sz w:val="22"/>
          <w:szCs w:val="22"/>
        </w:rPr>
        <w:t xml:space="preserve"> to sustain affordable housing has </w:t>
      </w:r>
      <w:r w:rsidR="0039665B">
        <w:rPr>
          <w:sz w:val="22"/>
          <w:szCs w:val="22"/>
        </w:rPr>
        <w:t>consistently</w:t>
      </w:r>
      <w:r w:rsidR="00996FC2">
        <w:rPr>
          <w:sz w:val="22"/>
          <w:szCs w:val="22"/>
        </w:rPr>
        <w:t xml:space="preserve"> decreased. </w:t>
      </w:r>
      <w:r w:rsidR="00373A98">
        <w:rPr>
          <w:sz w:val="22"/>
          <w:szCs w:val="22"/>
        </w:rPr>
        <w:t>2</w:t>
      </w:r>
      <w:r w:rsidR="00920B57">
        <w:rPr>
          <w:sz w:val="22"/>
          <w:szCs w:val="22"/>
        </w:rPr>
        <w:t>80</w:t>
      </w:r>
      <w:r w:rsidR="00373A98">
        <w:rPr>
          <w:sz w:val="22"/>
          <w:szCs w:val="22"/>
        </w:rPr>
        <w:t xml:space="preserve"> Class Members received </w:t>
      </w:r>
      <w:r w:rsidR="002D33F3">
        <w:rPr>
          <w:sz w:val="22"/>
          <w:szCs w:val="22"/>
        </w:rPr>
        <w:t xml:space="preserve">a </w:t>
      </w:r>
      <w:r w:rsidR="00920B57">
        <w:rPr>
          <w:sz w:val="22"/>
          <w:szCs w:val="22"/>
        </w:rPr>
        <w:t>subsidized rental payment</w:t>
      </w:r>
      <w:r w:rsidR="00373A98">
        <w:rPr>
          <w:sz w:val="22"/>
          <w:szCs w:val="22"/>
        </w:rPr>
        <w:t xml:space="preserve"> </w:t>
      </w:r>
      <w:r w:rsidR="0095330A">
        <w:rPr>
          <w:sz w:val="22"/>
          <w:szCs w:val="22"/>
        </w:rPr>
        <w:t>in FY18.</w:t>
      </w:r>
      <w:r w:rsidR="002D33F3">
        <w:rPr>
          <w:sz w:val="22"/>
          <w:szCs w:val="22"/>
        </w:rPr>
        <w:t xml:space="preserve"> </w:t>
      </w:r>
      <w:r w:rsidRPr="00347F62">
        <w:rPr>
          <w:sz w:val="22"/>
          <w:szCs w:val="22"/>
        </w:rPr>
        <w:t xml:space="preserve">During this reporting </w:t>
      </w:r>
      <w:r w:rsidR="00462303" w:rsidRPr="00347F62">
        <w:rPr>
          <w:sz w:val="22"/>
          <w:szCs w:val="22"/>
        </w:rPr>
        <w:t xml:space="preserve">period </w:t>
      </w:r>
      <w:r w:rsidRPr="00347F62">
        <w:rPr>
          <w:sz w:val="22"/>
          <w:szCs w:val="22"/>
        </w:rPr>
        <w:t>time</w:t>
      </w:r>
      <w:r w:rsidR="00462303" w:rsidRPr="00347F62">
        <w:rPr>
          <w:sz w:val="22"/>
          <w:szCs w:val="22"/>
        </w:rPr>
        <w:t>frame</w:t>
      </w:r>
      <w:r w:rsidRPr="00347F62">
        <w:rPr>
          <w:sz w:val="22"/>
          <w:szCs w:val="22"/>
        </w:rPr>
        <w:t>, 1,042 Class Member</w:t>
      </w:r>
      <w:r w:rsidR="0039665B">
        <w:rPr>
          <w:sz w:val="22"/>
          <w:szCs w:val="22"/>
        </w:rPr>
        <w:t>s</w:t>
      </w:r>
      <w:r w:rsidRPr="00347F62">
        <w:rPr>
          <w:sz w:val="22"/>
          <w:szCs w:val="22"/>
        </w:rPr>
        <w:t xml:space="preserve"> out of a cumulative </w:t>
      </w:r>
      <w:r w:rsidR="00462303" w:rsidRPr="00347F62">
        <w:rPr>
          <w:sz w:val="22"/>
          <w:szCs w:val="22"/>
        </w:rPr>
        <w:t xml:space="preserve">transition </w:t>
      </w:r>
      <w:r w:rsidRPr="00347F62">
        <w:rPr>
          <w:sz w:val="22"/>
          <w:szCs w:val="22"/>
        </w:rPr>
        <w:t>total of 2,26</w:t>
      </w:r>
      <w:r w:rsidR="0039665B">
        <w:rPr>
          <w:sz w:val="22"/>
          <w:szCs w:val="22"/>
        </w:rPr>
        <w:t>5</w:t>
      </w:r>
      <w:r w:rsidRPr="00347F62">
        <w:rPr>
          <w:sz w:val="22"/>
          <w:szCs w:val="22"/>
        </w:rPr>
        <w:t xml:space="preserve"> Class Members (46%) receive</w:t>
      </w:r>
      <w:r w:rsidR="00F2200F" w:rsidRPr="00347F62">
        <w:rPr>
          <w:sz w:val="22"/>
          <w:szCs w:val="22"/>
        </w:rPr>
        <w:t>d</w:t>
      </w:r>
      <w:r w:rsidRPr="00347F62">
        <w:rPr>
          <w:sz w:val="22"/>
          <w:szCs w:val="22"/>
        </w:rPr>
        <w:t xml:space="preserve"> a </w:t>
      </w:r>
      <w:r w:rsidR="00F2200F" w:rsidRPr="00347F62">
        <w:rPr>
          <w:sz w:val="22"/>
          <w:szCs w:val="22"/>
        </w:rPr>
        <w:t xml:space="preserve">GRF funded </w:t>
      </w:r>
      <w:r w:rsidRPr="00347F62">
        <w:rPr>
          <w:sz w:val="22"/>
          <w:szCs w:val="22"/>
        </w:rPr>
        <w:t xml:space="preserve">Bridge Subsidy. </w:t>
      </w:r>
      <w:r w:rsidR="00347F62" w:rsidRPr="00347F62">
        <w:rPr>
          <w:sz w:val="22"/>
          <w:szCs w:val="22"/>
        </w:rPr>
        <w:t>Concurrently, e</w:t>
      </w:r>
      <w:r w:rsidR="0027467D" w:rsidRPr="00347F62">
        <w:rPr>
          <w:sz w:val="22"/>
          <w:szCs w:val="22"/>
        </w:rPr>
        <w:t>fforts to</w:t>
      </w:r>
      <w:r w:rsidR="00347F62" w:rsidRPr="00347F62">
        <w:rPr>
          <w:sz w:val="22"/>
          <w:szCs w:val="22"/>
        </w:rPr>
        <w:t xml:space="preserve"> expand access to affordable housing has</w:t>
      </w:r>
      <w:r w:rsidR="0027467D" w:rsidRPr="00347F62">
        <w:rPr>
          <w:sz w:val="22"/>
          <w:szCs w:val="22"/>
        </w:rPr>
        <w:t xml:space="preserve"> incentivize</w:t>
      </w:r>
      <w:r w:rsidR="00347F62" w:rsidRPr="00347F62">
        <w:rPr>
          <w:sz w:val="22"/>
          <w:szCs w:val="22"/>
        </w:rPr>
        <w:t>d</w:t>
      </w:r>
      <w:r w:rsidR="0027467D" w:rsidRPr="00347F62">
        <w:rPr>
          <w:sz w:val="22"/>
          <w:szCs w:val="22"/>
        </w:rPr>
        <w:t xml:space="preserve"> the Illinois Housing Development Authority’s (IHDA) Low Income Housing Tax Credit Units </w:t>
      </w:r>
      <w:r w:rsidR="00347F62" w:rsidRPr="00347F62">
        <w:rPr>
          <w:sz w:val="22"/>
          <w:szCs w:val="22"/>
        </w:rPr>
        <w:t xml:space="preserve">to </w:t>
      </w:r>
      <w:r w:rsidR="0027467D" w:rsidRPr="00347F62">
        <w:rPr>
          <w:sz w:val="22"/>
          <w:szCs w:val="22"/>
        </w:rPr>
        <w:t xml:space="preserve">continue to </w:t>
      </w:r>
      <w:r w:rsidR="00996FC2">
        <w:rPr>
          <w:sz w:val="22"/>
          <w:szCs w:val="22"/>
        </w:rPr>
        <w:t xml:space="preserve">create new units. </w:t>
      </w:r>
      <w:r w:rsidR="00347F62" w:rsidRPr="00347F62">
        <w:rPr>
          <w:sz w:val="22"/>
          <w:szCs w:val="22"/>
        </w:rPr>
        <w:t xml:space="preserve">See the expansion of 1,964 new units through the end of June 2018 (FY18) in the below </w:t>
      </w:r>
      <w:r w:rsidR="00347F62" w:rsidRPr="00C64F50">
        <w:rPr>
          <w:sz w:val="22"/>
          <w:szCs w:val="22"/>
        </w:rPr>
        <w:t xml:space="preserve">Table </w:t>
      </w:r>
      <w:r w:rsidR="0039665B" w:rsidRPr="00C64F50">
        <w:rPr>
          <w:sz w:val="22"/>
          <w:szCs w:val="22"/>
        </w:rPr>
        <w:t>A</w:t>
      </w:r>
      <w:r w:rsidR="00347F62" w:rsidRPr="00C64F50">
        <w:rPr>
          <w:sz w:val="22"/>
          <w:szCs w:val="22"/>
        </w:rPr>
        <w:t>.</w:t>
      </w:r>
    </w:p>
    <w:p w:rsidR="00347F62" w:rsidRDefault="00347F62" w:rsidP="00347F62">
      <w:pPr>
        <w:pStyle w:val="Default"/>
        <w:rPr>
          <w:sz w:val="22"/>
          <w:szCs w:val="22"/>
        </w:rPr>
      </w:pPr>
    </w:p>
    <w:p w:rsidR="005C7D66" w:rsidRDefault="005C7D66" w:rsidP="00A1141C">
      <w:r>
        <w:t>T</w:t>
      </w:r>
      <w:r w:rsidR="00880048">
        <w:t>he t</w:t>
      </w:r>
      <w:r>
        <w:t xml:space="preserve">able </w:t>
      </w:r>
      <w:r w:rsidR="00880048">
        <w:t>below</w:t>
      </w:r>
      <w:r>
        <w:t xml:space="preserve"> reflect</w:t>
      </w:r>
      <w:r w:rsidR="00203163">
        <w:t>s</w:t>
      </w:r>
      <w:r>
        <w:t xml:space="preserve"> the number of Class Members who</w:t>
      </w:r>
      <w:r w:rsidR="00880048">
        <w:t xml:space="preserve"> currently</w:t>
      </w:r>
      <w:r>
        <w:t xml:space="preserve"> reside in a lease held unit or units </w:t>
      </w:r>
      <w:r w:rsidR="00880048">
        <w:t>with</w:t>
      </w:r>
      <w:r>
        <w:t xml:space="preserve"> the same building address (common roof).   </w:t>
      </w:r>
    </w:p>
    <w:p w:rsidR="00632394" w:rsidRDefault="00632394" w:rsidP="00347F62">
      <w:pPr>
        <w:pStyle w:val="Default"/>
        <w:rPr>
          <w:sz w:val="22"/>
          <w:szCs w:val="22"/>
        </w:rPr>
      </w:pPr>
      <w:r>
        <w:rPr>
          <w:noProof/>
          <w:sz w:val="22"/>
          <w:szCs w:val="22"/>
        </w:rPr>
        <w:drawing>
          <wp:inline distT="0" distB="0" distL="0" distR="0" wp14:anchorId="666C195A" wp14:editId="5C156F6E">
            <wp:extent cx="4729655" cy="320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dresses.png"/>
                    <pic:cNvPicPr/>
                  </pic:nvPicPr>
                  <pic:blipFill>
                    <a:blip r:embed="rId8"/>
                    <a:stretch>
                      <a:fillRect/>
                    </a:stretch>
                  </pic:blipFill>
                  <pic:spPr>
                    <a:xfrm>
                      <a:off x="0" y="0"/>
                      <a:ext cx="4733597" cy="3203068"/>
                    </a:xfrm>
                    <a:prstGeom prst="rect">
                      <a:avLst/>
                    </a:prstGeom>
                  </pic:spPr>
                </pic:pic>
              </a:graphicData>
            </a:graphic>
          </wp:inline>
        </w:drawing>
      </w:r>
    </w:p>
    <w:p w:rsidR="00632394" w:rsidRDefault="00632394" w:rsidP="00347F62">
      <w:pPr>
        <w:pStyle w:val="Default"/>
        <w:rPr>
          <w:sz w:val="22"/>
          <w:szCs w:val="22"/>
        </w:rPr>
      </w:pPr>
    </w:p>
    <w:p w:rsidR="008A7C78" w:rsidRDefault="008A7C78" w:rsidP="00347F62">
      <w:pPr>
        <w:pStyle w:val="Default"/>
        <w:rPr>
          <w:rFonts w:asciiTheme="minorHAnsi" w:hAnsiTheme="minorHAnsi"/>
          <w:b/>
          <w:sz w:val="22"/>
          <w:szCs w:val="22"/>
          <w:u w:val="single"/>
        </w:rPr>
      </w:pPr>
    </w:p>
    <w:p w:rsidR="008A7C78" w:rsidRDefault="008A7C78" w:rsidP="00347F62">
      <w:pPr>
        <w:pStyle w:val="Default"/>
        <w:rPr>
          <w:rFonts w:asciiTheme="minorHAnsi" w:hAnsiTheme="minorHAnsi"/>
          <w:b/>
          <w:sz w:val="22"/>
          <w:szCs w:val="22"/>
          <w:u w:val="single"/>
        </w:rPr>
      </w:pPr>
    </w:p>
    <w:p w:rsidR="008A7C78" w:rsidRDefault="008A7C78" w:rsidP="00347F62">
      <w:pPr>
        <w:pStyle w:val="Default"/>
        <w:rPr>
          <w:rFonts w:asciiTheme="minorHAnsi" w:hAnsiTheme="minorHAnsi"/>
          <w:b/>
          <w:sz w:val="22"/>
          <w:szCs w:val="22"/>
          <w:u w:val="single"/>
        </w:rPr>
      </w:pPr>
    </w:p>
    <w:p w:rsidR="009A4638" w:rsidRDefault="00347F62" w:rsidP="00347F62">
      <w:pPr>
        <w:pStyle w:val="Default"/>
        <w:rPr>
          <w:rFonts w:asciiTheme="minorHAnsi" w:hAnsiTheme="minorHAnsi"/>
          <w:b/>
          <w:sz w:val="22"/>
          <w:szCs w:val="22"/>
        </w:rPr>
      </w:pPr>
      <w:r w:rsidRPr="00360553">
        <w:rPr>
          <w:rFonts w:asciiTheme="minorHAnsi" w:hAnsiTheme="minorHAnsi"/>
          <w:b/>
          <w:sz w:val="22"/>
          <w:szCs w:val="22"/>
          <w:u w:val="single"/>
        </w:rPr>
        <w:t>Low Income Housing Tax Credits (LIHTC)</w:t>
      </w:r>
      <w:r w:rsidR="009A4638" w:rsidRPr="009A4638">
        <w:rPr>
          <w:rFonts w:asciiTheme="minorHAnsi" w:hAnsiTheme="minorHAnsi"/>
          <w:b/>
          <w:sz w:val="22"/>
          <w:szCs w:val="22"/>
        </w:rPr>
        <w:t xml:space="preserve"> </w:t>
      </w:r>
    </w:p>
    <w:p w:rsidR="009A4638" w:rsidRDefault="009A4638" w:rsidP="00347F62">
      <w:pPr>
        <w:pStyle w:val="Default"/>
        <w:rPr>
          <w:rFonts w:asciiTheme="minorHAnsi" w:hAnsiTheme="minorHAnsi"/>
          <w:b/>
          <w:sz w:val="22"/>
          <w:szCs w:val="22"/>
        </w:rPr>
      </w:pPr>
    </w:p>
    <w:p w:rsidR="008A7C78" w:rsidRDefault="008A7C78" w:rsidP="00347F62">
      <w:pPr>
        <w:pStyle w:val="Default"/>
        <w:rPr>
          <w:rFonts w:asciiTheme="minorHAnsi" w:hAnsiTheme="minorHAnsi"/>
          <w:b/>
          <w:sz w:val="22"/>
          <w:szCs w:val="22"/>
        </w:rPr>
      </w:pPr>
    </w:p>
    <w:p w:rsidR="008A7C78" w:rsidRDefault="008A7C78" w:rsidP="00347F62">
      <w:pPr>
        <w:pStyle w:val="Default"/>
        <w:rPr>
          <w:rFonts w:asciiTheme="minorHAnsi" w:hAnsiTheme="minorHAnsi"/>
          <w:b/>
          <w:sz w:val="22"/>
          <w:szCs w:val="22"/>
        </w:rPr>
      </w:pPr>
    </w:p>
    <w:p w:rsidR="008A7C78" w:rsidRDefault="008A7C78" w:rsidP="00347F62">
      <w:pPr>
        <w:pStyle w:val="Default"/>
        <w:rPr>
          <w:rFonts w:asciiTheme="minorHAnsi" w:hAnsiTheme="minorHAnsi"/>
          <w:b/>
          <w:sz w:val="22"/>
          <w:szCs w:val="22"/>
        </w:rPr>
      </w:pPr>
    </w:p>
    <w:p w:rsidR="00347F62" w:rsidRPr="00360553" w:rsidRDefault="009A4638" w:rsidP="00347F62">
      <w:pPr>
        <w:pStyle w:val="Default"/>
        <w:rPr>
          <w:rFonts w:asciiTheme="minorHAnsi" w:hAnsiTheme="minorHAnsi"/>
          <w:sz w:val="22"/>
          <w:szCs w:val="22"/>
        </w:rPr>
      </w:pPr>
      <w:r w:rsidRPr="00C64F50">
        <w:rPr>
          <w:rFonts w:asciiTheme="minorHAnsi" w:hAnsiTheme="minorHAnsi"/>
          <w:b/>
          <w:sz w:val="22"/>
          <w:szCs w:val="22"/>
        </w:rPr>
        <w:t xml:space="preserve">Table </w:t>
      </w:r>
      <w:r w:rsidR="0039665B" w:rsidRPr="00C64F50">
        <w:rPr>
          <w:rFonts w:asciiTheme="minorHAnsi" w:hAnsiTheme="minorHAnsi"/>
          <w:b/>
          <w:sz w:val="22"/>
          <w:szCs w:val="22"/>
        </w:rPr>
        <w:t>A</w:t>
      </w:r>
      <w:r w:rsidR="00347F62" w:rsidRPr="00C64F50">
        <w:rPr>
          <w:rFonts w:asciiTheme="minorHAnsi" w:hAnsiTheme="minorHAnsi"/>
          <w:sz w:val="22"/>
          <w:szCs w:val="22"/>
        </w:rPr>
        <w:t>•</w:t>
      </w:r>
      <w:r w:rsidR="00347F62" w:rsidRPr="00360553">
        <w:rPr>
          <w:rFonts w:asciiTheme="minorHAnsi" w:hAnsiTheme="minorHAnsi"/>
          <w:sz w:val="22"/>
          <w:szCs w:val="22"/>
        </w:rPr>
        <w:t xml:space="preserve"> LIHTC awards per year beginning at 2012 (CY)</w:t>
      </w:r>
    </w:p>
    <w:tbl>
      <w:tblPr>
        <w:tblW w:w="0" w:type="auto"/>
        <w:tblBorders>
          <w:top w:val="nil"/>
          <w:left w:val="nil"/>
          <w:bottom w:val="nil"/>
          <w:right w:val="nil"/>
        </w:tblBorders>
        <w:tblLayout w:type="fixed"/>
        <w:tblLook w:val="0000" w:firstRow="0" w:lastRow="0" w:firstColumn="0" w:lastColumn="0" w:noHBand="0" w:noVBand="0"/>
      </w:tblPr>
      <w:tblGrid>
        <w:gridCol w:w="2761"/>
        <w:gridCol w:w="2761"/>
      </w:tblGrid>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b/>
                <w:sz w:val="22"/>
                <w:szCs w:val="22"/>
              </w:rPr>
            </w:pPr>
            <w:r w:rsidRPr="00360553">
              <w:rPr>
                <w:rFonts w:asciiTheme="minorHAnsi" w:hAnsiTheme="minorHAnsi"/>
                <w:b/>
                <w:sz w:val="22"/>
                <w:szCs w:val="22"/>
              </w:rPr>
              <w:t xml:space="preserve">Year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b/>
                <w:sz w:val="22"/>
                <w:szCs w:val="22"/>
              </w:rPr>
            </w:pPr>
            <w:r w:rsidRPr="00360553">
              <w:rPr>
                <w:rFonts w:asciiTheme="minorHAnsi" w:hAnsiTheme="minorHAnsi"/>
                <w:b/>
                <w:sz w:val="22"/>
                <w:szCs w:val="22"/>
              </w:rPr>
              <w:t xml:space="preserve">LIHTC Units </w:t>
            </w:r>
          </w:p>
        </w:tc>
      </w:tr>
      <w:tr w:rsidR="00347F62" w:rsidRPr="00360553" w:rsidTr="00347F62">
        <w:trPr>
          <w:trHeight w:val="244"/>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Pre-2000: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25,287 </w:t>
            </w:r>
          </w:p>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(about 1,687 units a year) </w:t>
            </w:r>
          </w:p>
        </w:tc>
      </w:tr>
      <w:tr w:rsidR="00347F62" w:rsidRPr="00360553" w:rsidTr="00347F62">
        <w:trPr>
          <w:trHeight w:val="244"/>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2000-FY2011: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36,459 </w:t>
            </w:r>
          </w:p>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(about 3,314 units a year) </w:t>
            </w:r>
          </w:p>
        </w:tc>
      </w:tr>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FY2012: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1,347 </w:t>
            </w:r>
          </w:p>
        </w:tc>
      </w:tr>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FY2013: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1,297 </w:t>
            </w:r>
          </w:p>
        </w:tc>
      </w:tr>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FY2014: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4,252 </w:t>
            </w:r>
          </w:p>
        </w:tc>
      </w:tr>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FY2015: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3,489 </w:t>
            </w:r>
          </w:p>
        </w:tc>
      </w:tr>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FY2016: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4,736 </w:t>
            </w:r>
          </w:p>
        </w:tc>
      </w:tr>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FY2017: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2,652 </w:t>
            </w:r>
          </w:p>
        </w:tc>
      </w:tr>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sz w:val="22"/>
                <w:szCs w:val="22"/>
              </w:rPr>
              <w:t xml:space="preserve">FY2018: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447F46" w:rsidP="00347F62">
            <w:pPr>
              <w:pStyle w:val="Default"/>
              <w:rPr>
                <w:rFonts w:asciiTheme="minorHAnsi" w:hAnsiTheme="minorHAnsi"/>
                <w:sz w:val="22"/>
                <w:szCs w:val="22"/>
              </w:rPr>
            </w:pPr>
            <w:r>
              <w:rPr>
                <w:rFonts w:asciiTheme="minorHAnsi" w:hAnsiTheme="minorHAnsi"/>
                <w:sz w:val="22"/>
                <w:szCs w:val="22"/>
              </w:rPr>
              <w:t xml:space="preserve">3,291 </w:t>
            </w:r>
          </w:p>
        </w:tc>
      </w:tr>
      <w:tr w:rsidR="00347F62" w:rsidRPr="00360553" w:rsidTr="00347F62">
        <w:trPr>
          <w:trHeight w:val="244"/>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sz w:val="22"/>
                <w:szCs w:val="22"/>
              </w:rPr>
            </w:pPr>
            <w:r w:rsidRPr="00360553">
              <w:rPr>
                <w:rFonts w:asciiTheme="minorHAnsi" w:hAnsiTheme="minorHAnsi"/>
                <w:i/>
                <w:iCs/>
                <w:sz w:val="22"/>
                <w:szCs w:val="22"/>
              </w:rPr>
              <w:t xml:space="preserve">Average unit production per year, FY2012-FY2017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8C6A06" w:rsidP="00347F62">
            <w:pPr>
              <w:pStyle w:val="Default"/>
              <w:rPr>
                <w:rFonts w:asciiTheme="minorHAnsi" w:hAnsiTheme="minorHAnsi"/>
                <w:sz w:val="22"/>
                <w:szCs w:val="22"/>
              </w:rPr>
            </w:pPr>
            <w:r>
              <w:rPr>
                <w:rFonts w:asciiTheme="minorHAnsi" w:hAnsiTheme="minorHAnsi"/>
                <w:i/>
                <w:iCs/>
                <w:sz w:val="22"/>
                <w:szCs w:val="22"/>
              </w:rPr>
              <w:t xml:space="preserve">3,009 </w:t>
            </w:r>
            <w:r w:rsidR="00347F62" w:rsidRPr="00360553">
              <w:rPr>
                <w:rFonts w:asciiTheme="minorHAnsi" w:hAnsiTheme="minorHAnsi"/>
                <w:i/>
                <w:iCs/>
                <w:sz w:val="22"/>
                <w:szCs w:val="22"/>
              </w:rPr>
              <w:t xml:space="preserve">units </w:t>
            </w:r>
          </w:p>
        </w:tc>
      </w:tr>
      <w:tr w:rsidR="00347F62" w:rsidRPr="00360553" w:rsidTr="00347F62">
        <w:trPr>
          <w:trHeight w:val="110"/>
        </w:trPr>
        <w:tc>
          <w:tcPr>
            <w:tcW w:w="2761" w:type="dxa"/>
            <w:tcBorders>
              <w:top w:val="single" w:sz="4" w:space="0" w:color="auto"/>
              <w:left w:val="single" w:sz="4" w:space="0" w:color="auto"/>
              <w:bottom w:val="single" w:sz="4" w:space="0" w:color="auto"/>
              <w:right w:val="single" w:sz="4" w:space="0" w:color="auto"/>
            </w:tcBorders>
          </w:tcPr>
          <w:p w:rsidR="00347F62" w:rsidRPr="00360553" w:rsidRDefault="00347F62" w:rsidP="00347F62">
            <w:pPr>
              <w:pStyle w:val="Default"/>
              <w:rPr>
                <w:rFonts w:asciiTheme="minorHAnsi" w:hAnsiTheme="minorHAnsi"/>
                <w:b/>
                <w:sz w:val="22"/>
                <w:szCs w:val="22"/>
              </w:rPr>
            </w:pPr>
            <w:r w:rsidRPr="00360553">
              <w:rPr>
                <w:rFonts w:asciiTheme="minorHAnsi" w:hAnsiTheme="minorHAnsi"/>
                <w:b/>
                <w:sz w:val="22"/>
                <w:szCs w:val="22"/>
              </w:rPr>
              <w:t xml:space="preserve">TOTAL LIHTC UNITS </w:t>
            </w:r>
          </w:p>
        </w:tc>
        <w:tc>
          <w:tcPr>
            <w:tcW w:w="2761" w:type="dxa"/>
            <w:tcBorders>
              <w:top w:val="single" w:sz="4" w:space="0" w:color="auto"/>
              <w:left w:val="single" w:sz="4" w:space="0" w:color="auto"/>
              <w:bottom w:val="single" w:sz="4" w:space="0" w:color="auto"/>
              <w:right w:val="single" w:sz="4" w:space="0" w:color="auto"/>
            </w:tcBorders>
          </w:tcPr>
          <w:p w:rsidR="00347F62" w:rsidRPr="00360553" w:rsidRDefault="008C6A06" w:rsidP="00347F62">
            <w:pPr>
              <w:pStyle w:val="Default"/>
              <w:rPr>
                <w:rFonts w:asciiTheme="minorHAnsi" w:hAnsiTheme="minorHAnsi"/>
                <w:b/>
                <w:sz w:val="22"/>
                <w:szCs w:val="22"/>
              </w:rPr>
            </w:pPr>
            <w:r>
              <w:rPr>
                <w:rFonts w:asciiTheme="minorHAnsi" w:hAnsiTheme="minorHAnsi"/>
                <w:b/>
                <w:sz w:val="22"/>
                <w:szCs w:val="22"/>
              </w:rPr>
              <w:t xml:space="preserve">82,810  </w:t>
            </w:r>
            <w:r w:rsidR="00347F62" w:rsidRPr="00360553">
              <w:rPr>
                <w:rFonts w:asciiTheme="minorHAnsi" w:hAnsiTheme="minorHAnsi"/>
                <w:b/>
                <w:sz w:val="22"/>
                <w:szCs w:val="22"/>
              </w:rPr>
              <w:t xml:space="preserve"> </w:t>
            </w:r>
          </w:p>
        </w:tc>
      </w:tr>
    </w:tbl>
    <w:p w:rsidR="009A4638" w:rsidRDefault="009A4638" w:rsidP="00347F62">
      <w:pPr>
        <w:pStyle w:val="Default"/>
        <w:rPr>
          <w:sz w:val="16"/>
          <w:szCs w:val="16"/>
        </w:rPr>
      </w:pPr>
    </w:p>
    <w:p w:rsidR="00347F62" w:rsidRDefault="00347F62" w:rsidP="00347F62">
      <w:pPr>
        <w:pStyle w:val="Default"/>
        <w:rPr>
          <w:rFonts w:asciiTheme="minorHAnsi" w:hAnsiTheme="minorHAnsi"/>
          <w:sz w:val="16"/>
          <w:szCs w:val="16"/>
        </w:rPr>
      </w:pPr>
      <w:r w:rsidRPr="00360553">
        <w:rPr>
          <w:rFonts w:asciiTheme="minorHAnsi" w:hAnsiTheme="minorHAnsi"/>
          <w:sz w:val="16"/>
          <w:szCs w:val="16"/>
        </w:rPr>
        <w:t>.</w:t>
      </w:r>
      <w:r w:rsidR="008C6A06">
        <w:rPr>
          <w:rFonts w:asciiTheme="minorHAnsi" w:hAnsiTheme="minorHAnsi"/>
          <w:sz w:val="16"/>
          <w:szCs w:val="16"/>
        </w:rPr>
        <w:t xml:space="preserve">  Updated numbers after the 2018 LIHTC Round</w:t>
      </w:r>
    </w:p>
    <w:p w:rsidR="00347F62" w:rsidRDefault="00347F62" w:rsidP="00347F62">
      <w:pPr>
        <w:pStyle w:val="Default"/>
        <w:rPr>
          <w:rFonts w:asciiTheme="minorHAnsi" w:hAnsiTheme="minorHAnsi"/>
          <w:sz w:val="16"/>
          <w:szCs w:val="16"/>
        </w:rPr>
      </w:pPr>
    </w:p>
    <w:p w:rsidR="00347F62" w:rsidRDefault="00347F62" w:rsidP="00347F62">
      <w:pPr>
        <w:pStyle w:val="Default"/>
        <w:rPr>
          <w:rFonts w:asciiTheme="minorHAnsi" w:hAnsiTheme="minorHAnsi"/>
          <w:sz w:val="16"/>
          <w:szCs w:val="16"/>
        </w:rPr>
      </w:pPr>
      <w:r w:rsidRPr="00360553">
        <w:rPr>
          <w:rFonts w:asciiTheme="minorHAnsi" w:hAnsiTheme="minorHAnsi"/>
          <w:noProof/>
          <w:sz w:val="22"/>
          <w:szCs w:val="22"/>
        </w:rPr>
        <w:drawing>
          <wp:inline distT="0" distB="0" distL="0" distR="0" wp14:anchorId="3D60B1B8" wp14:editId="418EA2C1">
            <wp:extent cx="5722620" cy="343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3436620"/>
                    </a:xfrm>
                    <a:prstGeom prst="rect">
                      <a:avLst/>
                    </a:prstGeom>
                    <a:noFill/>
                    <a:ln>
                      <a:noFill/>
                    </a:ln>
                  </pic:spPr>
                </pic:pic>
              </a:graphicData>
            </a:graphic>
          </wp:inline>
        </w:drawing>
      </w:r>
    </w:p>
    <w:p w:rsidR="00347F62" w:rsidRDefault="00347F62" w:rsidP="00347F62">
      <w:pPr>
        <w:pStyle w:val="Default"/>
        <w:rPr>
          <w:rFonts w:asciiTheme="minorHAnsi" w:hAnsiTheme="minorHAnsi"/>
          <w:sz w:val="16"/>
          <w:szCs w:val="16"/>
        </w:rPr>
      </w:pPr>
    </w:p>
    <w:p w:rsidR="00347F62" w:rsidRDefault="00347F62" w:rsidP="00347F62">
      <w:pPr>
        <w:pStyle w:val="Default"/>
        <w:rPr>
          <w:b/>
          <w:sz w:val="22"/>
          <w:szCs w:val="22"/>
          <w:u w:val="single"/>
        </w:rPr>
      </w:pPr>
      <w:r w:rsidRPr="00360553">
        <w:rPr>
          <w:b/>
          <w:sz w:val="22"/>
          <w:szCs w:val="22"/>
          <w:u w:val="single"/>
        </w:rPr>
        <w:t>State</w:t>
      </w:r>
      <w:r w:rsidR="001D3C30">
        <w:rPr>
          <w:b/>
          <w:sz w:val="22"/>
          <w:szCs w:val="22"/>
          <w:u w:val="single"/>
        </w:rPr>
        <w:t>wide</w:t>
      </w:r>
      <w:r w:rsidRPr="00360553">
        <w:rPr>
          <w:b/>
          <w:sz w:val="22"/>
          <w:szCs w:val="22"/>
          <w:u w:val="single"/>
        </w:rPr>
        <w:t xml:space="preserve"> Referral Network </w:t>
      </w:r>
    </w:p>
    <w:p w:rsidR="009A4638" w:rsidRPr="00360553" w:rsidRDefault="009A4638" w:rsidP="00347F62">
      <w:pPr>
        <w:pStyle w:val="Default"/>
        <w:rPr>
          <w:b/>
          <w:sz w:val="22"/>
          <w:szCs w:val="22"/>
          <w:u w:val="single"/>
        </w:rPr>
      </w:pPr>
    </w:p>
    <w:p w:rsidR="00347F62" w:rsidRDefault="00347F62" w:rsidP="00C05E79">
      <w:pPr>
        <w:pStyle w:val="Default"/>
        <w:spacing w:line="276" w:lineRule="auto"/>
        <w:rPr>
          <w:sz w:val="22"/>
          <w:szCs w:val="22"/>
        </w:rPr>
      </w:pPr>
      <w:r>
        <w:rPr>
          <w:sz w:val="22"/>
          <w:szCs w:val="22"/>
        </w:rPr>
        <w:t>T</w:t>
      </w:r>
      <w:r w:rsidRPr="00360553">
        <w:rPr>
          <w:sz w:val="22"/>
          <w:szCs w:val="22"/>
        </w:rPr>
        <w:t xml:space="preserve">he Statewide Referral Network (SRN) works to link populations already connected </w:t>
      </w:r>
      <w:r w:rsidR="00170CDF">
        <w:rPr>
          <w:sz w:val="22"/>
          <w:szCs w:val="22"/>
        </w:rPr>
        <w:t>with</w:t>
      </w:r>
      <w:r w:rsidRPr="00360553">
        <w:rPr>
          <w:sz w:val="22"/>
          <w:szCs w:val="22"/>
        </w:rPr>
        <w:t xml:space="preserve"> services to affordable, available, supportive housing. SRN units are affordable for persons </w:t>
      </w:r>
      <w:r>
        <w:rPr>
          <w:sz w:val="22"/>
          <w:szCs w:val="22"/>
        </w:rPr>
        <w:t>at</w:t>
      </w:r>
      <w:r w:rsidRPr="00360553">
        <w:rPr>
          <w:sz w:val="22"/>
          <w:szCs w:val="22"/>
        </w:rPr>
        <w:t xml:space="preserve"> 30% area median income. Eligible populations include persons living with disabilities, persons experiencing homelessness, persons at risk of homelessness, and, new this year, persons at risk of institutionalization. </w:t>
      </w:r>
    </w:p>
    <w:p w:rsidR="00347F62" w:rsidRPr="00360553" w:rsidRDefault="00347F62" w:rsidP="00C05E79">
      <w:pPr>
        <w:pStyle w:val="Default"/>
        <w:spacing w:line="276" w:lineRule="auto"/>
        <w:rPr>
          <w:sz w:val="22"/>
          <w:szCs w:val="22"/>
        </w:rPr>
      </w:pPr>
    </w:p>
    <w:p w:rsidR="00347F62" w:rsidRDefault="00347F62" w:rsidP="00C05E79">
      <w:pPr>
        <w:pStyle w:val="Default"/>
        <w:spacing w:line="276" w:lineRule="auto"/>
        <w:rPr>
          <w:sz w:val="22"/>
          <w:szCs w:val="22"/>
        </w:rPr>
      </w:pPr>
      <w:r w:rsidRPr="00360553">
        <w:rPr>
          <w:sz w:val="22"/>
          <w:szCs w:val="22"/>
        </w:rPr>
        <w:t xml:space="preserve">Embedded within the State of Illinois’ housing locator website is a password-protected login through the Pre-Screening, Assessment, Intake and Referral (PAIR) module for SRN and Section 811 units. </w:t>
      </w:r>
      <w:r>
        <w:rPr>
          <w:sz w:val="22"/>
          <w:szCs w:val="22"/>
        </w:rPr>
        <w:t>T</w:t>
      </w:r>
      <w:r w:rsidRPr="00360553">
        <w:rPr>
          <w:sz w:val="22"/>
          <w:szCs w:val="22"/>
        </w:rPr>
        <w:t xml:space="preserve">he PAIR module is a waitlist management system that allows for the pre-screening of individuals for eligibility through an initial questionnaire. </w:t>
      </w:r>
      <w:r w:rsidR="0039665B">
        <w:rPr>
          <w:sz w:val="22"/>
          <w:szCs w:val="22"/>
        </w:rPr>
        <w:t xml:space="preserve"> </w:t>
      </w:r>
      <w:r w:rsidRPr="00360553">
        <w:rPr>
          <w:sz w:val="22"/>
          <w:szCs w:val="22"/>
        </w:rPr>
        <w:t xml:space="preserve">The SRN Waiting List receives referrals through the module from various service providers (housing locators, transition coordinators and care coordinators). The Housing Waiting List Manager then facilitates the match and referral of qualified applicants to properties with SRN units. There are approximately 1,700 units available within the SRN. </w:t>
      </w:r>
      <w:r w:rsidR="00142074">
        <w:rPr>
          <w:sz w:val="22"/>
          <w:szCs w:val="22"/>
        </w:rPr>
        <w:t xml:space="preserve"> Consent Decree Class Members (</w:t>
      </w:r>
      <w:r w:rsidRPr="00360553">
        <w:rPr>
          <w:sz w:val="22"/>
          <w:szCs w:val="22"/>
        </w:rPr>
        <w:t xml:space="preserve">Williams, Colbert and </w:t>
      </w:r>
      <w:proofErr w:type="spellStart"/>
      <w:r w:rsidRPr="00360553">
        <w:rPr>
          <w:sz w:val="22"/>
          <w:szCs w:val="22"/>
        </w:rPr>
        <w:t>Ligas</w:t>
      </w:r>
      <w:proofErr w:type="spellEnd"/>
      <w:r w:rsidR="00142074">
        <w:rPr>
          <w:sz w:val="22"/>
          <w:szCs w:val="22"/>
        </w:rPr>
        <w:t>)</w:t>
      </w:r>
      <w:r w:rsidRPr="00360553">
        <w:rPr>
          <w:sz w:val="22"/>
          <w:szCs w:val="22"/>
        </w:rPr>
        <w:t xml:space="preserve"> receive preference in accessing SRN units. </w:t>
      </w:r>
    </w:p>
    <w:p w:rsidR="00347F62" w:rsidRPr="00360553" w:rsidRDefault="00347F62" w:rsidP="00C05E79">
      <w:pPr>
        <w:pStyle w:val="Default"/>
        <w:spacing w:line="276" w:lineRule="auto"/>
        <w:rPr>
          <w:sz w:val="22"/>
          <w:szCs w:val="22"/>
        </w:rPr>
      </w:pPr>
    </w:p>
    <w:p w:rsidR="00775021" w:rsidRDefault="00347F62" w:rsidP="00C05E79">
      <w:pPr>
        <w:spacing w:after="0"/>
      </w:pPr>
      <w:r w:rsidRPr="00360553">
        <w:t>The Statewide Housing Coordinator (SHC) in co</w:t>
      </w:r>
      <w:r w:rsidR="00775021">
        <w:t>llaboration</w:t>
      </w:r>
      <w:r w:rsidRPr="00360553">
        <w:t xml:space="preserve"> with IHDA oversee</w:t>
      </w:r>
      <w:r w:rsidR="00DD6E4F">
        <w:t>s</w:t>
      </w:r>
      <w:r w:rsidRPr="00360553">
        <w:t xml:space="preserve"> the PAIR module</w:t>
      </w:r>
      <w:r w:rsidR="00142074">
        <w:t xml:space="preserve">, </w:t>
      </w:r>
      <w:r w:rsidRPr="00360553">
        <w:t>its SRN/811 application process</w:t>
      </w:r>
      <w:r w:rsidR="00775021">
        <w:t>,</w:t>
      </w:r>
      <w:r w:rsidRPr="00360553">
        <w:t xml:space="preserve"> matching system</w:t>
      </w:r>
      <w:r w:rsidR="00775021">
        <w:t>,</w:t>
      </w:r>
      <w:r w:rsidR="00142074">
        <w:t xml:space="preserve"> and track</w:t>
      </w:r>
      <w:r w:rsidR="007A70E3">
        <w:t>s</w:t>
      </w:r>
      <w:r w:rsidR="00142074">
        <w:t xml:space="preserve"> to </w:t>
      </w:r>
      <w:r w:rsidR="00140198">
        <w:t xml:space="preserve">ensure </w:t>
      </w:r>
      <w:r w:rsidR="00142074">
        <w:t>that the 25% restriction is maintained (</w:t>
      </w:r>
      <w:r w:rsidR="00140198">
        <w:t xml:space="preserve">while </w:t>
      </w:r>
      <w:r w:rsidR="00142074">
        <w:t>respecting consumer choice)</w:t>
      </w:r>
      <w:r w:rsidRPr="00360553">
        <w:t xml:space="preserve">. </w:t>
      </w:r>
      <w:r w:rsidR="00142074">
        <w:t xml:space="preserve">  </w:t>
      </w:r>
      <w:proofErr w:type="spellStart"/>
      <w:r w:rsidRPr="00360553">
        <w:t>IDoA</w:t>
      </w:r>
      <w:proofErr w:type="spellEnd"/>
      <w:r w:rsidRPr="00360553">
        <w:t xml:space="preserve">, IDHS and IHFS </w:t>
      </w:r>
      <w:r w:rsidR="00142074">
        <w:t xml:space="preserve">have an established </w:t>
      </w:r>
      <w:r w:rsidRPr="00360553">
        <w:t xml:space="preserve">intergovernmental agreement and share the costs of maintaining the </w:t>
      </w:r>
      <w:hyperlink r:id="rId10" w:history="1">
        <w:r w:rsidR="007A70E3" w:rsidRPr="00A84058">
          <w:rPr>
            <w:rStyle w:val="Hyperlink"/>
          </w:rPr>
          <w:t>www.ILHousingSearch.org</w:t>
        </w:r>
      </w:hyperlink>
      <w:r w:rsidRPr="00360553">
        <w:t xml:space="preserve"> housing locator and PAIR waiting list module</w:t>
      </w:r>
      <w:r w:rsidRPr="00775021">
        <w:t xml:space="preserve">. </w:t>
      </w:r>
      <w:r w:rsidR="00775021" w:rsidRPr="00775021">
        <w:t xml:space="preserve">  </w:t>
      </w:r>
      <w:r w:rsidR="00775021" w:rsidRPr="004065A2">
        <w:t xml:space="preserve">Tables </w:t>
      </w:r>
      <w:proofErr w:type="gramStart"/>
      <w:r w:rsidR="00775021" w:rsidRPr="004065A2">
        <w:t>B(</w:t>
      </w:r>
      <w:proofErr w:type="gramEnd"/>
      <w:r w:rsidR="00775021" w:rsidRPr="004065A2">
        <w:t>1), B(2) and C</w:t>
      </w:r>
      <w:r w:rsidR="00775021" w:rsidRPr="00775021">
        <w:t xml:space="preserve"> reflect the SRN growth pattern and </w:t>
      </w:r>
      <w:r w:rsidR="00775021">
        <w:t>units accessed by Class Members</w:t>
      </w:r>
      <w:r w:rsidR="00146F10">
        <w:t xml:space="preserve">.  Table </w:t>
      </w:r>
      <w:proofErr w:type="gramStart"/>
      <w:r w:rsidR="00146F10">
        <w:t>C(</w:t>
      </w:r>
      <w:proofErr w:type="gramEnd"/>
      <w:r w:rsidR="00146F10">
        <w:t>1) reflects the number of expanded 811 units through FY18.</w:t>
      </w:r>
      <w:r w:rsidR="002D33F3">
        <w:t xml:space="preserve">   Table </w:t>
      </w:r>
      <w:proofErr w:type="gramStart"/>
      <w:r w:rsidR="002D33F3">
        <w:t>C(</w:t>
      </w:r>
      <w:proofErr w:type="gramEnd"/>
      <w:r w:rsidR="002D33F3">
        <w:t>2) breaks out PSH units by types: 811, SRN and PSH (regular) and PSH (cluster)</w:t>
      </w:r>
    </w:p>
    <w:p w:rsidR="00775021" w:rsidRDefault="00775021" w:rsidP="00C05E79">
      <w:pPr>
        <w:spacing w:after="0"/>
      </w:pPr>
    </w:p>
    <w:p w:rsidR="00347F62" w:rsidRDefault="00347F62" w:rsidP="00C05E79">
      <w:pPr>
        <w:spacing w:after="0"/>
        <w:rPr>
          <w:b/>
          <w:u w:val="single"/>
        </w:rPr>
      </w:pPr>
      <w:r w:rsidRPr="00360553">
        <w:rPr>
          <w:b/>
          <w:u w:val="single"/>
        </w:rPr>
        <w:t>Statewide Referral Network Units (SRN)</w:t>
      </w:r>
    </w:p>
    <w:p w:rsidR="00C05E79" w:rsidRPr="00360553" w:rsidRDefault="00C05E79" w:rsidP="00C05E79">
      <w:pPr>
        <w:spacing w:after="0"/>
        <w:rPr>
          <w:b/>
          <w:u w:val="single"/>
        </w:rPr>
      </w:pPr>
    </w:p>
    <w:p w:rsidR="00347F62" w:rsidRDefault="009A4638" w:rsidP="00C05E79">
      <w:pPr>
        <w:autoSpaceDE w:val="0"/>
        <w:autoSpaceDN w:val="0"/>
        <w:adjustRightInd w:val="0"/>
        <w:spacing w:after="0"/>
        <w:rPr>
          <w:rFonts w:cs="Calibri"/>
          <w:color w:val="000000"/>
        </w:rPr>
      </w:pPr>
      <w:r w:rsidRPr="00C64F50">
        <w:rPr>
          <w:rFonts w:cs="Calibri"/>
          <w:b/>
          <w:color w:val="000000"/>
        </w:rPr>
        <w:t xml:space="preserve">Table </w:t>
      </w:r>
      <w:proofErr w:type="gramStart"/>
      <w:r w:rsidR="00775021" w:rsidRPr="00C64F50">
        <w:rPr>
          <w:rFonts w:cs="Calibri"/>
          <w:b/>
          <w:color w:val="000000"/>
        </w:rPr>
        <w:t>B</w:t>
      </w:r>
      <w:r w:rsidR="004065A2" w:rsidRPr="00C64F50">
        <w:rPr>
          <w:rFonts w:cs="Calibri"/>
          <w:b/>
          <w:color w:val="000000"/>
        </w:rPr>
        <w:t>(</w:t>
      </w:r>
      <w:proofErr w:type="gramEnd"/>
      <w:r w:rsidR="00775021" w:rsidRPr="00C64F50">
        <w:rPr>
          <w:rFonts w:cs="Calibri"/>
          <w:b/>
          <w:color w:val="000000"/>
        </w:rPr>
        <w:t>1</w:t>
      </w:r>
      <w:r w:rsidR="004065A2" w:rsidRPr="004065A2">
        <w:rPr>
          <w:rFonts w:cs="Calibri"/>
          <w:b/>
          <w:color w:val="000000"/>
        </w:rPr>
        <w:t>)</w:t>
      </w:r>
      <w:r w:rsidR="00775021">
        <w:rPr>
          <w:rFonts w:cs="Calibri"/>
          <w:color w:val="000000"/>
        </w:rPr>
        <w:t xml:space="preserve"> -</w:t>
      </w:r>
      <w:r>
        <w:rPr>
          <w:rFonts w:cs="Calibri"/>
          <w:color w:val="000000"/>
        </w:rPr>
        <w:t xml:space="preserve">  </w:t>
      </w:r>
      <w:r w:rsidR="00347F62" w:rsidRPr="00042960">
        <w:rPr>
          <w:rFonts w:cs="Calibri"/>
          <w:color w:val="000000"/>
        </w:rPr>
        <w:t>SRN units</w:t>
      </w:r>
      <w:r w:rsidR="00142074">
        <w:rPr>
          <w:rFonts w:cs="Calibri"/>
          <w:color w:val="000000"/>
        </w:rPr>
        <w:t xml:space="preserve"> - </w:t>
      </w:r>
      <w:r w:rsidR="00347F62">
        <w:rPr>
          <w:rFonts w:cs="Calibri"/>
          <w:color w:val="000000"/>
        </w:rPr>
        <w:t xml:space="preserve">growth pattern </w:t>
      </w:r>
      <w:r w:rsidR="00347F62" w:rsidRPr="00042960">
        <w:rPr>
          <w:rFonts w:cs="Calibri"/>
          <w:color w:val="000000"/>
        </w:rPr>
        <w:t xml:space="preserve">included in each round of LIHTC </w:t>
      </w:r>
      <w:r w:rsidR="00142074">
        <w:rPr>
          <w:rFonts w:cs="Calibri"/>
          <w:color w:val="000000"/>
        </w:rPr>
        <w:t>awarded</w:t>
      </w:r>
      <w:r w:rsidR="00347F62" w:rsidRPr="00042960">
        <w:rPr>
          <w:rFonts w:cs="Calibri"/>
          <w:color w:val="000000"/>
        </w:rPr>
        <w:t xml:space="preserve"> </w:t>
      </w:r>
    </w:p>
    <w:p w:rsidR="00142074" w:rsidRPr="00360553" w:rsidRDefault="00142074" w:rsidP="00347F62">
      <w:pPr>
        <w:autoSpaceDE w:val="0"/>
        <w:autoSpaceDN w:val="0"/>
        <w:adjustRightInd w:val="0"/>
        <w:spacing w:after="0" w:line="240" w:lineRule="auto"/>
        <w:rPr>
          <w:rFonts w:cs="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205"/>
        <w:gridCol w:w="2205"/>
      </w:tblGrid>
      <w:tr w:rsidR="00347F62" w:rsidRPr="00042960" w:rsidTr="00804B26">
        <w:trPr>
          <w:trHeight w:val="110"/>
        </w:trPr>
        <w:tc>
          <w:tcPr>
            <w:tcW w:w="2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47F62" w:rsidRPr="00042960" w:rsidRDefault="00347F62" w:rsidP="00347F62">
            <w:pPr>
              <w:autoSpaceDE w:val="0"/>
              <w:autoSpaceDN w:val="0"/>
              <w:adjustRightInd w:val="0"/>
              <w:spacing w:after="0" w:line="240" w:lineRule="auto"/>
              <w:rPr>
                <w:rFonts w:cs="Calibri"/>
                <w:color w:val="000000"/>
              </w:rPr>
            </w:pPr>
          </w:p>
        </w:tc>
        <w:tc>
          <w:tcPr>
            <w:tcW w:w="2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SRN Units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2008-FY2011: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299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FY2012: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36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FY2013: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229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FY2014: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460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FY2015: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197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FY2016: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187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FY2017: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152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FY2018: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146F10" w:rsidP="00347F62">
            <w:pPr>
              <w:autoSpaceDE w:val="0"/>
              <w:autoSpaceDN w:val="0"/>
              <w:adjustRightInd w:val="0"/>
              <w:spacing w:after="0" w:line="240" w:lineRule="auto"/>
              <w:rPr>
                <w:rFonts w:cs="Calibri"/>
                <w:color w:val="000000"/>
              </w:rPr>
            </w:pPr>
            <w:r>
              <w:rPr>
                <w:rFonts w:cs="Calibri"/>
                <w:color w:val="000000"/>
              </w:rPr>
              <w:t xml:space="preserve">498 </w:t>
            </w:r>
            <w:r w:rsidR="00347F62" w:rsidRPr="00042960">
              <w:rPr>
                <w:rFonts w:cs="Calibri"/>
                <w:color w:val="000000"/>
              </w:rPr>
              <w:t xml:space="preserve"> </w:t>
            </w:r>
          </w:p>
        </w:tc>
      </w:tr>
      <w:tr w:rsidR="00347F62" w:rsidRPr="00042960" w:rsidTr="00347F62">
        <w:trPr>
          <w:trHeight w:val="244"/>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i/>
                <w:iCs/>
                <w:color w:val="000000"/>
              </w:rPr>
              <w:t xml:space="preserve">Average unit production per year, FY2012-FY2017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146F10" w:rsidP="00347F62">
            <w:pPr>
              <w:autoSpaceDE w:val="0"/>
              <w:autoSpaceDN w:val="0"/>
              <w:adjustRightInd w:val="0"/>
              <w:spacing w:after="0" w:line="240" w:lineRule="auto"/>
              <w:rPr>
                <w:rFonts w:cs="Calibri"/>
                <w:color w:val="000000"/>
              </w:rPr>
            </w:pPr>
            <w:r>
              <w:rPr>
                <w:rFonts w:cs="Calibri"/>
                <w:i/>
                <w:iCs/>
                <w:color w:val="000000"/>
              </w:rPr>
              <w:t xml:space="preserve">251  </w:t>
            </w:r>
          </w:p>
        </w:tc>
      </w:tr>
      <w:tr w:rsidR="00347F62" w:rsidRPr="00042960" w:rsidTr="00347F62">
        <w:trPr>
          <w:trHeight w:val="110"/>
        </w:trPr>
        <w:tc>
          <w:tcPr>
            <w:tcW w:w="2205" w:type="dxa"/>
            <w:tcBorders>
              <w:top w:val="single" w:sz="4" w:space="0" w:color="auto"/>
              <w:left w:val="single" w:sz="4" w:space="0" w:color="auto"/>
              <w:bottom w:val="single" w:sz="4" w:space="0" w:color="auto"/>
              <w:right w:val="single" w:sz="4" w:space="0" w:color="auto"/>
            </w:tcBorders>
          </w:tcPr>
          <w:p w:rsidR="00347F62" w:rsidRPr="00042960" w:rsidRDefault="00347F62" w:rsidP="00347F62">
            <w:pPr>
              <w:autoSpaceDE w:val="0"/>
              <w:autoSpaceDN w:val="0"/>
              <w:adjustRightInd w:val="0"/>
              <w:spacing w:after="0" w:line="240" w:lineRule="auto"/>
              <w:rPr>
                <w:rFonts w:cs="Calibri"/>
                <w:color w:val="000000"/>
              </w:rPr>
            </w:pPr>
            <w:r w:rsidRPr="00042960">
              <w:rPr>
                <w:rFonts w:cs="Calibri"/>
                <w:color w:val="000000"/>
              </w:rPr>
              <w:t xml:space="preserve">TOTAL SRN UNITS </w:t>
            </w:r>
          </w:p>
        </w:tc>
        <w:tc>
          <w:tcPr>
            <w:tcW w:w="2205" w:type="dxa"/>
            <w:tcBorders>
              <w:top w:val="single" w:sz="4" w:space="0" w:color="auto"/>
              <w:left w:val="single" w:sz="4" w:space="0" w:color="auto"/>
              <w:bottom w:val="single" w:sz="4" w:space="0" w:color="auto"/>
              <w:right w:val="single" w:sz="4" w:space="0" w:color="auto"/>
            </w:tcBorders>
          </w:tcPr>
          <w:p w:rsidR="00347F62" w:rsidRPr="00042960" w:rsidRDefault="00146F10" w:rsidP="00347F62">
            <w:pPr>
              <w:autoSpaceDE w:val="0"/>
              <w:autoSpaceDN w:val="0"/>
              <w:adjustRightInd w:val="0"/>
              <w:spacing w:after="0" w:line="240" w:lineRule="auto"/>
              <w:rPr>
                <w:rFonts w:cs="Calibri"/>
                <w:color w:val="000000"/>
              </w:rPr>
            </w:pPr>
            <w:r>
              <w:rPr>
                <w:rFonts w:cs="Calibri"/>
                <w:color w:val="000000"/>
              </w:rPr>
              <w:t xml:space="preserve">2,058  </w:t>
            </w:r>
          </w:p>
        </w:tc>
      </w:tr>
    </w:tbl>
    <w:p w:rsidR="003D46C2" w:rsidRDefault="003D46C2" w:rsidP="00347F62">
      <w:pPr>
        <w:autoSpaceDE w:val="0"/>
        <w:autoSpaceDN w:val="0"/>
        <w:adjustRightInd w:val="0"/>
        <w:spacing w:after="0" w:line="240" w:lineRule="auto"/>
        <w:rPr>
          <w:sz w:val="16"/>
          <w:szCs w:val="16"/>
        </w:rPr>
      </w:pPr>
    </w:p>
    <w:p w:rsidR="00775021" w:rsidRDefault="00146F10" w:rsidP="00347F62">
      <w:pPr>
        <w:autoSpaceDE w:val="0"/>
        <w:autoSpaceDN w:val="0"/>
        <w:adjustRightInd w:val="0"/>
        <w:spacing w:after="0" w:line="240" w:lineRule="auto"/>
      </w:pPr>
      <w:r>
        <w:rPr>
          <w:sz w:val="16"/>
          <w:szCs w:val="16"/>
        </w:rPr>
        <w:t xml:space="preserve">   Updated numbers after the 2018 LIHTC Round</w:t>
      </w:r>
      <w:r>
        <w:t xml:space="preserve">  </w:t>
      </w:r>
    </w:p>
    <w:p w:rsidR="00775021" w:rsidRDefault="00775021" w:rsidP="00347F62">
      <w:pPr>
        <w:autoSpaceDE w:val="0"/>
        <w:autoSpaceDN w:val="0"/>
        <w:adjustRightInd w:val="0"/>
        <w:spacing w:after="0" w:line="240" w:lineRule="auto"/>
      </w:pPr>
    </w:p>
    <w:p w:rsidR="00775021" w:rsidRDefault="00775021" w:rsidP="00347F62">
      <w:pPr>
        <w:autoSpaceDE w:val="0"/>
        <w:autoSpaceDN w:val="0"/>
        <w:adjustRightInd w:val="0"/>
        <w:spacing w:after="0" w:line="240" w:lineRule="auto"/>
      </w:pPr>
    </w:p>
    <w:p w:rsidR="00775021" w:rsidRDefault="00775021" w:rsidP="00347F62">
      <w:pPr>
        <w:autoSpaceDE w:val="0"/>
        <w:autoSpaceDN w:val="0"/>
        <w:adjustRightInd w:val="0"/>
        <w:spacing w:after="0" w:line="240" w:lineRule="auto"/>
      </w:pPr>
    </w:p>
    <w:p w:rsidR="00775021" w:rsidRDefault="00775021" w:rsidP="00347F62">
      <w:pPr>
        <w:autoSpaceDE w:val="0"/>
        <w:autoSpaceDN w:val="0"/>
        <w:adjustRightInd w:val="0"/>
        <w:spacing w:after="0" w:line="240" w:lineRule="auto"/>
      </w:pPr>
    </w:p>
    <w:p w:rsidR="00775021" w:rsidRDefault="00775021" w:rsidP="00347F62">
      <w:pPr>
        <w:autoSpaceDE w:val="0"/>
        <w:autoSpaceDN w:val="0"/>
        <w:adjustRightInd w:val="0"/>
        <w:spacing w:after="0" w:line="240" w:lineRule="auto"/>
      </w:pPr>
    </w:p>
    <w:p w:rsidR="00775021" w:rsidRDefault="00775021" w:rsidP="00347F62">
      <w:pPr>
        <w:autoSpaceDE w:val="0"/>
        <w:autoSpaceDN w:val="0"/>
        <w:adjustRightInd w:val="0"/>
        <w:spacing w:after="0" w:line="240" w:lineRule="auto"/>
      </w:pPr>
    </w:p>
    <w:p w:rsidR="00775021" w:rsidRDefault="00775021" w:rsidP="00347F62">
      <w:pPr>
        <w:autoSpaceDE w:val="0"/>
        <w:autoSpaceDN w:val="0"/>
        <w:adjustRightInd w:val="0"/>
        <w:spacing w:after="0" w:line="240" w:lineRule="auto"/>
      </w:pPr>
    </w:p>
    <w:p w:rsidR="00775021" w:rsidRDefault="00775021" w:rsidP="00347F62">
      <w:pPr>
        <w:autoSpaceDE w:val="0"/>
        <w:autoSpaceDN w:val="0"/>
        <w:adjustRightInd w:val="0"/>
        <w:spacing w:after="0" w:line="240" w:lineRule="auto"/>
      </w:pPr>
    </w:p>
    <w:p w:rsidR="00775021" w:rsidRDefault="00775021" w:rsidP="00347F62">
      <w:pPr>
        <w:autoSpaceDE w:val="0"/>
        <w:autoSpaceDN w:val="0"/>
        <w:adjustRightInd w:val="0"/>
        <w:spacing w:after="0" w:line="240" w:lineRule="auto"/>
        <w:rPr>
          <w:highlight w:val="yellow"/>
        </w:rPr>
      </w:pPr>
    </w:p>
    <w:p w:rsidR="00775021" w:rsidRDefault="00775021" w:rsidP="00347F62">
      <w:pPr>
        <w:autoSpaceDE w:val="0"/>
        <w:autoSpaceDN w:val="0"/>
        <w:adjustRightInd w:val="0"/>
        <w:spacing w:after="0" w:line="240" w:lineRule="auto"/>
        <w:rPr>
          <w:highlight w:val="yellow"/>
        </w:rPr>
      </w:pPr>
    </w:p>
    <w:p w:rsidR="00775021" w:rsidRPr="004065A2" w:rsidRDefault="00775021" w:rsidP="00347F62">
      <w:pPr>
        <w:autoSpaceDE w:val="0"/>
        <w:autoSpaceDN w:val="0"/>
        <w:adjustRightInd w:val="0"/>
        <w:spacing w:after="0" w:line="240" w:lineRule="auto"/>
        <w:rPr>
          <w:b/>
        </w:rPr>
      </w:pPr>
      <w:r w:rsidRPr="00C64F50">
        <w:rPr>
          <w:b/>
        </w:rPr>
        <w:t>Table B2</w:t>
      </w:r>
    </w:p>
    <w:p w:rsidR="00347F62" w:rsidRDefault="00142074" w:rsidP="00347F62">
      <w:pPr>
        <w:pStyle w:val="Default"/>
        <w:rPr>
          <w:rFonts w:asciiTheme="minorHAnsi" w:hAnsiTheme="minorHAnsi"/>
          <w:sz w:val="16"/>
          <w:szCs w:val="16"/>
        </w:rPr>
      </w:pPr>
      <w:r w:rsidRPr="00360553">
        <w:rPr>
          <w:noProof/>
        </w:rPr>
        <w:drawing>
          <wp:inline distT="0" distB="0" distL="0" distR="0" wp14:anchorId="1806A7D3" wp14:editId="5260F7BC">
            <wp:extent cx="37528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2457450"/>
                    </a:xfrm>
                    <a:prstGeom prst="rect">
                      <a:avLst/>
                    </a:prstGeom>
                    <a:noFill/>
                    <a:ln>
                      <a:noFill/>
                    </a:ln>
                  </pic:spPr>
                </pic:pic>
              </a:graphicData>
            </a:graphic>
          </wp:inline>
        </w:drawing>
      </w:r>
    </w:p>
    <w:p w:rsidR="00347F62" w:rsidRDefault="00347F62" w:rsidP="00347F62">
      <w:pPr>
        <w:pStyle w:val="Default"/>
        <w:rPr>
          <w:rFonts w:asciiTheme="minorHAnsi" w:hAnsiTheme="minorHAnsi"/>
          <w:sz w:val="16"/>
          <w:szCs w:val="16"/>
        </w:rPr>
      </w:pPr>
    </w:p>
    <w:p w:rsidR="00775021" w:rsidRDefault="00775021" w:rsidP="00347F62">
      <w:pPr>
        <w:pStyle w:val="Default"/>
        <w:rPr>
          <w:rFonts w:asciiTheme="minorHAnsi" w:hAnsiTheme="minorHAnsi"/>
          <w:sz w:val="22"/>
          <w:szCs w:val="22"/>
          <w:highlight w:val="yellow"/>
        </w:rPr>
      </w:pPr>
    </w:p>
    <w:p w:rsidR="007A70E3" w:rsidRPr="007A70E3" w:rsidRDefault="007A70E3" w:rsidP="00347F62">
      <w:pPr>
        <w:pStyle w:val="Default"/>
        <w:rPr>
          <w:rFonts w:asciiTheme="minorHAnsi" w:hAnsiTheme="minorHAnsi"/>
          <w:sz w:val="22"/>
          <w:szCs w:val="22"/>
        </w:rPr>
      </w:pPr>
      <w:r w:rsidRPr="00C64F50">
        <w:rPr>
          <w:rFonts w:asciiTheme="minorHAnsi" w:hAnsiTheme="minorHAnsi"/>
          <w:b/>
          <w:sz w:val="22"/>
          <w:szCs w:val="22"/>
        </w:rPr>
        <w:t xml:space="preserve">Table </w:t>
      </w:r>
      <w:r w:rsidR="00775021" w:rsidRPr="00C64F50">
        <w:rPr>
          <w:rFonts w:asciiTheme="minorHAnsi" w:hAnsiTheme="minorHAnsi"/>
          <w:b/>
          <w:sz w:val="22"/>
          <w:szCs w:val="22"/>
        </w:rPr>
        <w:t>C</w:t>
      </w:r>
      <w:r w:rsidR="00775021">
        <w:rPr>
          <w:rFonts w:asciiTheme="minorHAnsi" w:hAnsiTheme="minorHAnsi"/>
          <w:sz w:val="22"/>
          <w:szCs w:val="22"/>
        </w:rPr>
        <w:t xml:space="preserve"> </w:t>
      </w:r>
      <w:r>
        <w:rPr>
          <w:rFonts w:asciiTheme="minorHAnsi" w:hAnsiTheme="minorHAnsi"/>
          <w:sz w:val="22"/>
          <w:szCs w:val="22"/>
        </w:rPr>
        <w:t xml:space="preserve">Number of </w:t>
      </w:r>
      <w:r w:rsidR="00140198">
        <w:rPr>
          <w:rFonts w:asciiTheme="minorHAnsi" w:hAnsiTheme="minorHAnsi"/>
          <w:sz w:val="22"/>
          <w:szCs w:val="22"/>
        </w:rPr>
        <w:t>Olmstead Consent Decree</w:t>
      </w:r>
      <w:r>
        <w:rPr>
          <w:rFonts w:asciiTheme="minorHAnsi" w:hAnsiTheme="minorHAnsi"/>
          <w:sz w:val="22"/>
          <w:szCs w:val="22"/>
        </w:rPr>
        <w:t xml:space="preserve"> tenants in SRN units </w:t>
      </w:r>
    </w:p>
    <w:p w:rsidR="007A70E3" w:rsidRDefault="007A70E3" w:rsidP="00347F62">
      <w:pPr>
        <w:pStyle w:val="Default"/>
        <w:rPr>
          <w:rFonts w:asciiTheme="minorHAnsi" w:hAnsiTheme="minorHAnsi"/>
          <w:sz w:val="16"/>
          <w:szCs w:val="16"/>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745"/>
        <w:gridCol w:w="1745"/>
        <w:gridCol w:w="1745"/>
        <w:gridCol w:w="1745"/>
        <w:gridCol w:w="1745"/>
        <w:gridCol w:w="1745"/>
      </w:tblGrid>
      <w:tr w:rsidR="00142074" w:rsidRPr="00360553" w:rsidTr="00D73A90">
        <w:trPr>
          <w:trHeight w:val="110"/>
        </w:trPr>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42074" w:rsidRPr="00444DC2" w:rsidRDefault="00142074" w:rsidP="00D73A90">
            <w:pPr>
              <w:autoSpaceDE w:val="0"/>
              <w:autoSpaceDN w:val="0"/>
              <w:adjustRightInd w:val="0"/>
              <w:spacing w:after="0" w:line="240" w:lineRule="auto"/>
              <w:rPr>
                <w:rFonts w:cs="Calibri"/>
                <w:color w:val="000000"/>
              </w:rPr>
            </w:pPr>
            <w:r w:rsidRPr="00444DC2">
              <w:rPr>
                <w:rFonts w:cs="Calibri"/>
                <w:color w:val="000000"/>
              </w:rPr>
              <w:t xml:space="preserve">Calendar Year </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SRN Units Filled</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Williams</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Colbert</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42074" w:rsidRPr="00444DC2" w:rsidRDefault="00142074" w:rsidP="00D73A90">
            <w:pPr>
              <w:autoSpaceDE w:val="0"/>
              <w:autoSpaceDN w:val="0"/>
              <w:adjustRightInd w:val="0"/>
              <w:spacing w:after="0" w:line="240" w:lineRule="auto"/>
              <w:jc w:val="center"/>
              <w:rPr>
                <w:rFonts w:cs="Calibri"/>
                <w:color w:val="000000"/>
              </w:rPr>
            </w:pPr>
            <w:proofErr w:type="spellStart"/>
            <w:r w:rsidRPr="00444DC2">
              <w:rPr>
                <w:rFonts w:cs="Calibri"/>
                <w:color w:val="000000"/>
              </w:rPr>
              <w:t>Ligas</w:t>
            </w:r>
            <w:proofErr w:type="spellEnd"/>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Other***</w:t>
            </w:r>
          </w:p>
        </w:tc>
      </w:tr>
      <w:tr w:rsidR="00142074" w:rsidRPr="00360553" w:rsidTr="00D73A90">
        <w:trPr>
          <w:trHeight w:val="110"/>
        </w:trPr>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rPr>
                <w:rFonts w:cs="Calibri"/>
                <w:color w:val="000000"/>
              </w:rPr>
            </w:pPr>
            <w:r w:rsidRPr="00444DC2">
              <w:rPr>
                <w:rFonts w:cs="Calibri"/>
                <w:color w:val="000000"/>
              </w:rPr>
              <w:t xml:space="preserve">2015* </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42</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0</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1</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0</w:t>
            </w:r>
          </w:p>
        </w:tc>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41</w:t>
            </w:r>
          </w:p>
        </w:tc>
      </w:tr>
      <w:tr w:rsidR="00142074" w:rsidRPr="00360553" w:rsidTr="00D73A90">
        <w:trPr>
          <w:trHeight w:val="110"/>
        </w:trPr>
        <w:tc>
          <w:tcPr>
            <w:tcW w:w="1745" w:type="dxa"/>
            <w:tcBorders>
              <w:top w:val="single" w:sz="4" w:space="0" w:color="auto"/>
              <w:left w:val="single" w:sz="4" w:space="0" w:color="auto"/>
              <w:right w:val="single" w:sz="4" w:space="0" w:color="auto"/>
            </w:tcBorders>
          </w:tcPr>
          <w:p w:rsidR="00142074" w:rsidRPr="00444DC2" w:rsidRDefault="00142074" w:rsidP="00D73A90">
            <w:pPr>
              <w:autoSpaceDE w:val="0"/>
              <w:autoSpaceDN w:val="0"/>
              <w:adjustRightInd w:val="0"/>
              <w:spacing w:after="0" w:line="240" w:lineRule="auto"/>
              <w:rPr>
                <w:rFonts w:cs="Calibri"/>
                <w:color w:val="000000"/>
              </w:rPr>
            </w:pPr>
            <w:r w:rsidRPr="00444DC2">
              <w:rPr>
                <w:rFonts w:cs="Calibri"/>
                <w:color w:val="000000"/>
              </w:rPr>
              <w:t xml:space="preserve">2016 </w:t>
            </w:r>
          </w:p>
        </w:tc>
        <w:tc>
          <w:tcPr>
            <w:tcW w:w="1745" w:type="dxa"/>
            <w:tcBorders>
              <w:top w:val="single" w:sz="4" w:space="0" w:color="auto"/>
              <w:left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360553">
              <w:rPr>
                <w:rFonts w:cs="Calibri"/>
                <w:color w:val="000000"/>
              </w:rPr>
              <w:t>180</w:t>
            </w:r>
          </w:p>
        </w:tc>
        <w:tc>
          <w:tcPr>
            <w:tcW w:w="1745" w:type="dxa"/>
            <w:tcBorders>
              <w:top w:val="single" w:sz="4" w:space="0" w:color="auto"/>
              <w:left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1</w:t>
            </w:r>
          </w:p>
        </w:tc>
        <w:tc>
          <w:tcPr>
            <w:tcW w:w="1745" w:type="dxa"/>
            <w:tcBorders>
              <w:top w:val="single" w:sz="4" w:space="0" w:color="auto"/>
              <w:left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1</w:t>
            </w:r>
          </w:p>
        </w:tc>
        <w:tc>
          <w:tcPr>
            <w:tcW w:w="1745" w:type="dxa"/>
            <w:tcBorders>
              <w:top w:val="single" w:sz="4" w:space="0" w:color="auto"/>
              <w:left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11</w:t>
            </w:r>
          </w:p>
        </w:tc>
        <w:tc>
          <w:tcPr>
            <w:tcW w:w="1745" w:type="dxa"/>
            <w:tcBorders>
              <w:top w:val="single" w:sz="4" w:space="0" w:color="auto"/>
              <w:left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167</w:t>
            </w:r>
          </w:p>
        </w:tc>
      </w:tr>
      <w:tr w:rsidR="00142074" w:rsidRPr="00360553" w:rsidTr="00D73A90">
        <w:trPr>
          <w:trHeight w:val="110"/>
        </w:trPr>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rPr>
                <w:rFonts w:cs="Calibri"/>
                <w:color w:val="000000"/>
              </w:rPr>
            </w:pPr>
            <w:r w:rsidRPr="00444DC2">
              <w:rPr>
                <w:rFonts w:cs="Calibri"/>
                <w:color w:val="000000"/>
              </w:rPr>
              <w:t xml:space="preserve">2017 </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360553">
              <w:rPr>
                <w:rFonts w:cs="Calibri"/>
                <w:color w:val="000000"/>
              </w:rPr>
              <w:t>204</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4</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8</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4</w:t>
            </w:r>
          </w:p>
        </w:tc>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188</w:t>
            </w:r>
          </w:p>
        </w:tc>
      </w:tr>
      <w:tr w:rsidR="00142074" w:rsidRPr="00360553" w:rsidTr="00D73A90">
        <w:trPr>
          <w:trHeight w:val="110"/>
        </w:trPr>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rPr>
                <w:rFonts w:cs="Calibri"/>
                <w:color w:val="000000"/>
              </w:rPr>
            </w:pPr>
            <w:r w:rsidRPr="00444DC2">
              <w:rPr>
                <w:rFonts w:cs="Calibri"/>
                <w:color w:val="000000"/>
              </w:rPr>
              <w:t xml:space="preserve">2018** </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4</w:t>
            </w:r>
            <w:r>
              <w:rPr>
                <w:rFonts w:cs="Calibri"/>
                <w:color w:val="000000"/>
              </w:rPr>
              <w:t>6</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0</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0</w:t>
            </w:r>
          </w:p>
        </w:tc>
        <w:tc>
          <w:tcPr>
            <w:tcW w:w="1745" w:type="dxa"/>
            <w:tcBorders>
              <w:top w:val="single" w:sz="4" w:space="0" w:color="auto"/>
              <w:left w:val="single" w:sz="4" w:space="0" w:color="auto"/>
              <w:bottom w:val="single" w:sz="4" w:space="0" w:color="auto"/>
              <w:right w:val="single" w:sz="4" w:space="0" w:color="auto"/>
            </w:tcBorders>
          </w:tcPr>
          <w:p w:rsidR="00142074" w:rsidRPr="00444DC2" w:rsidRDefault="00142074" w:rsidP="00D73A90">
            <w:pPr>
              <w:autoSpaceDE w:val="0"/>
              <w:autoSpaceDN w:val="0"/>
              <w:adjustRightInd w:val="0"/>
              <w:spacing w:after="0" w:line="240" w:lineRule="auto"/>
              <w:jc w:val="center"/>
              <w:rPr>
                <w:rFonts w:cs="Calibri"/>
                <w:color w:val="000000"/>
              </w:rPr>
            </w:pPr>
            <w:r w:rsidRPr="00444DC2">
              <w:rPr>
                <w:rFonts w:cs="Calibri"/>
                <w:color w:val="000000"/>
              </w:rPr>
              <w:t>2</w:t>
            </w:r>
          </w:p>
        </w:tc>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Pr>
                <w:rFonts w:cs="Calibri"/>
                <w:color w:val="000000"/>
              </w:rPr>
              <w:t>44</w:t>
            </w:r>
          </w:p>
        </w:tc>
      </w:tr>
      <w:tr w:rsidR="00142074" w:rsidRPr="00360553" w:rsidTr="00D73A90">
        <w:trPr>
          <w:trHeight w:val="110"/>
        </w:trPr>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rPr>
                <w:rFonts w:cs="Calibri"/>
                <w:color w:val="000000"/>
              </w:rPr>
            </w:pPr>
            <w:r w:rsidRPr="00360553">
              <w:rPr>
                <w:rFonts w:cs="Calibri"/>
                <w:color w:val="000000"/>
              </w:rPr>
              <w:t>Total</w:t>
            </w:r>
          </w:p>
        </w:tc>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471</w:t>
            </w:r>
          </w:p>
        </w:tc>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5</w:t>
            </w:r>
          </w:p>
        </w:tc>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10</w:t>
            </w:r>
          </w:p>
        </w:tc>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17</w:t>
            </w:r>
          </w:p>
        </w:tc>
        <w:tc>
          <w:tcPr>
            <w:tcW w:w="1745" w:type="dxa"/>
            <w:tcBorders>
              <w:top w:val="single" w:sz="4" w:space="0" w:color="auto"/>
              <w:left w:val="single" w:sz="4" w:space="0" w:color="auto"/>
              <w:bottom w:val="single" w:sz="4" w:space="0" w:color="auto"/>
              <w:right w:val="single" w:sz="4" w:space="0" w:color="auto"/>
            </w:tcBorders>
          </w:tcPr>
          <w:p w:rsidR="00142074" w:rsidRPr="00360553" w:rsidRDefault="00142074" w:rsidP="00D73A90">
            <w:pPr>
              <w:autoSpaceDE w:val="0"/>
              <w:autoSpaceDN w:val="0"/>
              <w:adjustRightInd w:val="0"/>
              <w:spacing w:after="0" w:line="240" w:lineRule="auto"/>
              <w:jc w:val="center"/>
              <w:rPr>
                <w:rFonts w:cs="Calibri"/>
                <w:color w:val="000000"/>
              </w:rPr>
            </w:pPr>
            <w:r w:rsidRPr="00360553">
              <w:rPr>
                <w:rFonts w:cs="Calibri"/>
                <w:color w:val="000000"/>
              </w:rPr>
              <w:t>439</w:t>
            </w:r>
          </w:p>
        </w:tc>
      </w:tr>
    </w:tbl>
    <w:p w:rsidR="003D46C2" w:rsidRDefault="00203163" w:rsidP="00142074">
      <w:pPr>
        <w:autoSpaceDE w:val="0"/>
        <w:autoSpaceDN w:val="0"/>
        <w:adjustRightInd w:val="0"/>
        <w:spacing w:after="0" w:line="240" w:lineRule="auto"/>
        <w:rPr>
          <w:rFonts w:cs="Calibri"/>
          <w:color w:val="000000"/>
        </w:rPr>
      </w:pPr>
      <w:r>
        <w:rPr>
          <w:rFonts w:cs="Calibri"/>
          <w:color w:val="000000"/>
        </w:rPr>
        <w:br w:type="textWrapping" w:clear="all"/>
      </w:r>
    </w:p>
    <w:p w:rsidR="00142074" w:rsidRPr="00360553" w:rsidRDefault="00142074" w:rsidP="00D73A90">
      <w:pPr>
        <w:tabs>
          <w:tab w:val="left" w:pos="12720"/>
        </w:tabs>
        <w:autoSpaceDE w:val="0"/>
        <w:autoSpaceDN w:val="0"/>
        <w:adjustRightInd w:val="0"/>
        <w:spacing w:after="0" w:line="240" w:lineRule="auto"/>
        <w:rPr>
          <w:rFonts w:cs="Calibri"/>
          <w:color w:val="000000"/>
        </w:rPr>
      </w:pPr>
      <w:r w:rsidRPr="00360553">
        <w:rPr>
          <w:rFonts w:cs="Calibri"/>
          <w:color w:val="000000"/>
        </w:rPr>
        <w:t xml:space="preserve">**January 1-June 30, 2018 </w:t>
      </w:r>
      <w:r w:rsidR="00203163">
        <w:rPr>
          <w:rFonts w:cs="Calibri"/>
          <w:color w:val="000000"/>
        </w:rPr>
        <w:tab/>
      </w:r>
    </w:p>
    <w:p w:rsidR="00142074" w:rsidRDefault="00142074" w:rsidP="00142074">
      <w:pPr>
        <w:autoSpaceDE w:val="0"/>
        <w:autoSpaceDN w:val="0"/>
        <w:adjustRightInd w:val="0"/>
        <w:spacing w:after="0" w:line="240" w:lineRule="auto"/>
        <w:rPr>
          <w:rFonts w:cs="Calibri"/>
          <w:color w:val="000000"/>
        </w:rPr>
      </w:pPr>
      <w:r w:rsidRPr="00360553">
        <w:rPr>
          <w:rFonts w:cs="Calibri"/>
          <w:color w:val="000000"/>
        </w:rPr>
        <w:t>*** At risk of or experiencing homelessness, head of household w/disability, moving out of nursing facility</w:t>
      </w:r>
    </w:p>
    <w:p w:rsidR="00142074" w:rsidRDefault="00142074" w:rsidP="00347F62">
      <w:pPr>
        <w:pStyle w:val="Default"/>
        <w:rPr>
          <w:rFonts w:asciiTheme="minorHAnsi" w:hAnsiTheme="minorHAnsi"/>
          <w:sz w:val="16"/>
          <w:szCs w:val="16"/>
        </w:rPr>
      </w:pPr>
    </w:p>
    <w:p w:rsidR="005323AF" w:rsidRDefault="005323AF" w:rsidP="00347F62">
      <w:pPr>
        <w:pStyle w:val="Default"/>
        <w:rPr>
          <w:rFonts w:asciiTheme="minorHAnsi" w:hAnsiTheme="minorHAnsi"/>
          <w:sz w:val="16"/>
          <w:szCs w:val="16"/>
        </w:rPr>
      </w:pPr>
    </w:p>
    <w:p w:rsidR="005323AF" w:rsidRDefault="00203163" w:rsidP="00347F62">
      <w:pPr>
        <w:pStyle w:val="Default"/>
        <w:rPr>
          <w:rFonts w:asciiTheme="minorHAnsi" w:hAnsiTheme="minorHAnsi"/>
          <w:sz w:val="16"/>
          <w:szCs w:val="16"/>
        </w:rPr>
      </w:pPr>
      <w:r>
        <w:t>In FY18, there were 272 Class Members who transitioned to PSH (regular) units; 21 Class Members transitioned to Supervised Residential settings; 2 Class Members transitioned to SRN units and 20 Class Members transitioned to HUD 811/Cluster Housing units</w:t>
      </w:r>
      <w:r w:rsidR="00880048">
        <w:t>.</w:t>
      </w:r>
    </w:p>
    <w:p w:rsidR="005323AF" w:rsidRDefault="005323AF" w:rsidP="00347F62">
      <w:pPr>
        <w:pStyle w:val="Default"/>
        <w:rPr>
          <w:rFonts w:asciiTheme="minorHAnsi" w:hAnsiTheme="minorHAnsi"/>
          <w:sz w:val="16"/>
          <w:szCs w:val="16"/>
        </w:rPr>
      </w:pPr>
    </w:p>
    <w:p w:rsidR="00146F10" w:rsidRDefault="00146F10" w:rsidP="00347F62">
      <w:pPr>
        <w:pStyle w:val="Default"/>
        <w:rPr>
          <w:rFonts w:asciiTheme="minorHAnsi" w:hAnsiTheme="minorHAnsi"/>
          <w:sz w:val="16"/>
          <w:szCs w:val="16"/>
        </w:rPr>
      </w:pPr>
    </w:p>
    <w:p w:rsidR="00D231DC" w:rsidRDefault="00146F10" w:rsidP="00ED5E32">
      <w:pPr>
        <w:pStyle w:val="Default"/>
        <w:rPr>
          <w:b/>
          <w:sz w:val="22"/>
          <w:szCs w:val="22"/>
          <w:u w:val="single"/>
        </w:rPr>
      </w:pPr>
      <w:r>
        <w:rPr>
          <w:b/>
          <w:sz w:val="22"/>
          <w:szCs w:val="22"/>
          <w:u w:val="single"/>
        </w:rPr>
        <w:t xml:space="preserve">Table </w:t>
      </w:r>
      <w:proofErr w:type="gramStart"/>
      <w:r>
        <w:rPr>
          <w:b/>
          <w:sz w:val="22"/>
          <w:szCs w:val="22"/>
          <w:u w:val="single"/>
        </w:rPr>
        <w:t>C(</w:t>
      </w:r>
      <w:proofErr w:type="gramEnd"/>
      <w:r>
        <w:rPr>
          <w:b/>
          <w:sz w:val="22"/>
          <w:szCs w:val="22"/>
          <w:u w:val="single"/>
        </w:rPr>
        <w:t>1)</w:t>
      </w:r>
      <w:r w:rsidR="00BA0A09">
        <w:rPr>
          <w:b/>
          <w:sz w:val="22"/>
          <w:szCs w:val="22"/>
          <w:u w:val="single"/>
        </w:rPr>
        <w:t xml:space="preserve"> - </w:t>
      </w:r>
      <w:r>
        <w:rPr>
          <w:b/>
          <w:sz w:val="22"/>
          <w:szCs w:val="22"/>
          <w:u w:val="single"/>
        </w:rPr>
        <w:t xml:space="preserve"> Expanded 811 units through FY18</w:t>
      </w:r>
    </w:p>
    <w:p w:rsidR="00775021" w:rsidRDefault="00775021" w:rsidP="00ED5E32">
      <w:pPr>
        <w:pStyle w:val="Default"/>
        <w:rPr>
          <w:b/>
          <w:sz w:val="22"/>
          <w:szCs w:val="22"/>
          <w:u w:val="single"/>
        </w:rPr>
      </w:pPr>
    </w:p>
    <w:p w:rsidR="00146F10" w:rsidRDefault="00146F10" w:rsidP="00ED5E32">
      <w:pPr>
        <w:pStyle w:val="Default"/>
        <w:rPr>
          <w:b/>
          <w:sz w:val="22"/>
          <w:szCs w:val="22"/>
          <w:u w:val="single"/>
        </w:rPr>
      </w:pPr>
    </w:p>
    <w:tbl>
      <w:tblPr>
        <w:tblStyle w:val="TableGrid"/>
        <w:tblW w:w="0" w:type="auto"/>
        <w:jc w:val="center"/>
        <w:tblLook w:val="04A0" w:firstRow="1" w:lastRow="0" w:firstColumn="1" w:lastColumn="0" w:noHBand="0" w:noVBand="1"/>
      </w:tblPr>
      <w:tblGrid>
        <w:gridCol w:w="3055"/>
        <w:gridCol w:w="2880"/>
      </w:tblGrid>
      <w:tr w:rsidR="00146F10" w:rsidRPr="00E01620" w:rsidTr="00BA30CC">
        <w:trPr>
          <w:jc w:val="center"/>
        </w:trPr>
        <w:tc>
          <w:tcPr>
            <w:tcW w:w="3055" w:type="dxa"/>
          </w:tcPr>
          <w:p w:rsidR="00146F10" w:rsidRPr="00E01620" w:rsidRDefault="00146F10" w:rsidP="00BA30CC">
            <w:pPr>
              <w:rPr>
                <w:rFonts w:asciiTheme="majorHAnsi" w:hAnsiTheme="majorHAnsi" w:cstheme="majorHAnsi"/>
                <w:b/>
              </w:rPr>
            </w:pPr>
            <w:r w:rsidRPr="00E01620">
              <w:rPr>
                <w:rFonts w:asciiTheme="majorHAnsi" w:hAnsiTheme="majorHAnsi" w:cstheme="majorHAnsi"/>
                <w:b/>
              </w:rPr>
              <w:t>Year</w:t>
            </w:r>
          </w:p>
        </w:tc>
        <w:tc>
          <w:tcPr>
            <w:tcW w:w="2880" w:type="dxa"/>
          </w:tcPr>
          <w:p w:rsidR="00146F10" w:rsidRPr="00E01620" w:rsidRDefault="00146F10" w:rsidP="00BA30CC">
            <w:pPr>
              <w:jc w:val="center"/>
              <w:rPr>
                <w:rFonts w:asciiTheme="majorHAnsi" w:hAnsiTheme="majorHAnsi" w:cstheme="majorHAnsi"/>
                <w:b/>
              </w:rPr>
            </w:pPr>
            <w:r w:rsidRPr="00E01620">
              <w:rPr>
                <w:rFonts w:asciiTheme="majorHAnsi" w:hAnsiTheme="majorHAnsi" w:cstheme="majorHAnsi"/>
                <w:b/>
              </w:rPr>
              <w:t>811 Units</w:t>
            </w:r>
          </w:p>
        </w:tc>
      </w:tr>
      <w:tr w:rsidR="00146F10" w:rsidRPr="00E01620" w:rsidTr="00BA30CC">
        <w:trPr>
          <w:jc w:val="center"/>
        </w:trPr>
        <w:tc>
          <w:tcPr>
            <w:tcW w:w="3055" w:type="dxa"/>
          </w:tcPr>
          <w:p w:rsidR="00146F10" w:rsidRPr="00E01620" w:rsidRDefault="00146F10" w:rsidP="00BA30CC">
            <w:pPr>
              <w:rPr>
                <w:rFonts w:asciiTheme="majorHAnsi" w:hAnsiTheme="majorHAnsi" w:cstheme="majorHAnsi"/>
              </w:rPr>
            </w:pPr>
            <w:r w:rsidRPr="00E01620">
              <w:rPr>
                <w:rFonts w:asciiTheme="majorHAnsi" w:hAnsiTheme="majorHAnsi" w:cstheme="majorHAnsi"/>
              </w:rPr>
              <w:t>FY2015:</w:t>
            </w:r>
          </w:p>
        </w:tc>
        <w:tc>
          <w:tcPr>
            <w:tcW w:w="2880" w:type="dxa"/>
          </w:tcPr>
          <w:p w:rsidR="00146F10" w:rsidRPr="00E01620" w:rsidRDefault="00146F10" w:rsidP="00BA30CC">
            <w:pPr>
              <w:jc w:val="center"/>
              <w:rPr>
                <w:rFonts w:asciiTheme="majorHAnsi" w:hAnsiTheme="majorHAnsi" w:cstheme="majorHAnsi"/>
              </w:rPr>
            </w:pPr>
            <w:r w:rsidRPr="00E01620">
              <w:rPr>
                <w:rFonts w:asciiTheme="majorHAnsi" w:hAnsiTheme="majorHAnsi" w:cstheme="majorHAnsi"/>
              </w:rPr>
              <w:t>18</w:t>
            </w:r>
          </w:p>
        </w:tc>
      </w:tr>
      <w:tr w:rsidR="00146F10" w:rsidRPr="00E01620" w:rsidTr="00BA30CC">
        <w:trPr>
          <w:jc w:val="center"/>
        </w:trPr>
        <w:tc>
          <w:tcPr>
            <w:tcW w:w="3055" w:type="dxa"/>
          </w:tcPr>
          <w:p w:rsidR="00146F10" w:rsidRPr="00E01620" w:rsidRDefault="00146F10" w:rsidP="00BA30CC">
            <w:pPr>
              <w:rPr>
                <w:rFonts w:asciiTheme="majorHAnsi" w:hAnsiTheme="majorHAnsi" w:cstheme="majorHAnsi"/>
              </w:rPr>
            </w:pPr>
            <w:r w:rsidRPr="00E01620">
              <w:rPr>
                <w:rFonts w:asciiTheme="majorHAnsi" w:hAnsiTheme="majorHAnsi" w:cstheme="majorHAnsi"/>
              </w:rPr>
              <w:t>FY2016:</w:t>
            </w:r>
          </w:p>
        </w:tc>
        <w:tc>
          <w:tcPr>
            <w:tcW w:w="2880" w:type="dxa"/>
          </w:tcPr>
          <w:p w:rsidR="00146F10" w:rsidRPr="00E01620" w:rsidRDefault="00146F10" w:rsidP="00BA30CC">
            <w:pPr>
              <w:jc w:val="center"/>
              <w:rPr>
                <w:rFonts w:asciiTheme="majorHAnsi" w:hAnsiTheme="majorHAnsi" w:cstheme="majorHAnsi"/>
              </w:rPr>
            </w:pPr>
            <w:r w:rsidRPr="00E01620">
              <w:rPr>
                <w:rFonts w:asciiTheme="majorHAnsi" w:hAnsiTheme="majorHAnsi" w:cstheme="majorHAnsi"/>
              </w:rPr>
              <w:t>20</w:t>
            </w:r>
          </w:p>
        </w:tc>
      </w:tr>
      <w:tr w:rsidR="00146F10" w:rsidRPr="00E01620" w:rsidTr="00BA30CC">
        <w:trPr>
          <w:jc w:val="center"/>
        </w:trPr>
        <w:tc>
          <w:tcPr>
            <w:tcW w:w="3055" w:type="dxa"/>
          </w:tcPr>
          <w:p w:rsidR="00146F10" w:rsidRPr="00E01620" w:rsidRDefault="00146F10" w:rsidP="00BA30CC">
            <w:pPr>
              <w:rPr>
                <w:rFonts w:asciiTheme="majorHAnsi" w:hAnsiTheme="majorHAnsi" w:cstheme="majorHAnsi"/>
              </w:rPr>
            </w:pPr>
            <w:r w:rsidRPr="00E01620">
              <w:rPr>
                <w:rFonts w:asciiTheme="majorHAnsi" w:hAnsiTheme="majorHAnsi" w:cstheme="majorHAnsi"/>
              </w:rPr>
              <w:t>FY2017:</w:t>
            </w:r>
          </w:p>
        </w:tc>
        <w:tc>
          <w:tcPr>
            <w:tcW w:w="2880" w:type="dxa"/>
          </w:tcPr>
          <w:p w:rsidR="00146F10" w:rsidRPr="00E01620" w:rsidRDefault="00146F10" w:rsidP="00BA30CC">
            <w:pPr>
              <w:jc w:val="center"/>
              <w:rPr>
                <w:rFonts w:asciiTheme="majorHAnsi" w:hAnsiTheme="majorHAnsi" w:cstheme="majorHAnsi"/>
              </w:rPr>
            </w:pPr>
            <w:r w:rsidRPr="00E01620">
              <w:rPr>
                <w:rFonts w:asciiTheme="majorHAnsi" w:hAnsiTheme="majorHAnsi" w:cstheme="majorHAnsi"/>
              </w:rPr>
              <w:t>73</w:t>
            </w:r>
          </w:p>
        </w:tc>
      </w:tr>
      <w:tr w:rsidR="00146F10" w:rsidRPr="00E01620" w:rsidTr="00BA30CC">
        <w:trPr>
          <w:jc w:val="center"/>
        </w:trPr>
        <w:tc>
          <w:tcPr>
            <w:tcW w:w="3055" w:type="dxa"/>
          </w:tcPr>
          <w:p w:rsidR="00146F10" w:rsidRPr="00E01620" w:rsidRDefault="00146F10" w:rsidP="00BA30CC">
            <w:pPr>
              <w:rPr>
                <w:rFonts w:asciiTheme="majorHAnsi" w:hAnsiTheme="majorHAnsi" w:cstheme="majorHAnsi"/>
              </w:rPr>
            </w:pPr>
            <w:r w:rsidRPr="00E01620">
              <w:rPr>
                <w:rFonts w:asciiTheme="majorHAnsi" w:hAnsiTheme="majorHAnsi" w:cstheme="majorHAnsi"/>
              </w:rPr>
              <w:t>FY2018:</w:t>
            </w:r>
          </w:p>
        </w:tc>
        <w:tc>
          <w:tcPr>
            <w:tcW w:w="2880" w:type="dxa"/>
          </w:tcPr>
          <w:p w:rsidR="00146F10" w:rsidRPr="00E01620" w:rsidRDefault="00146F10" w:rsidP="00BA30CC">
            <w:pPr>
              <w:jc w:val="center"/>
              <w:rPr>
                <w:rFonts w:asciiTheme="majorHAnsi" w:hAnsiTheme="majorHAnsi" w:cstheme="majorHAnsi"/>
              </w:rPr>
            </w:pPr>
            <w:r>
              <w:rPr>
                <w:rFonts w:asciiTheme="majorHAnsi" w:hAnsiTheme="majorHAnsi" w:cstheme="majorHAnsi"/>
              </w:rPr>
              <w:t>84</w:t>
            </w:r>
          </w:p>
        </w:tc>
      </w:tr>
      <w:tr w:rsidR="00146F10" w:rsidRPr="00E01620" w:rsidTr="00BA30CC">
        <w:trPr>
          <w:jc w:val="center"/>
        </w:trPr>
        <w:tc>
          <w:tcPr>
            <w:tcW w:w="3055" w:type="dxa"/>
          </w:tcPr>
          <w:p w:rsidR="00146F10" w:rsidRPr="00E01620" w:rsidRDefault="00146F10" w:rsidP="00BA30CC">
            <w:pPr>
              <w:rPr>
                <w:rFonts w:asciiTheme="majorHAnsi" w:hAnsiTheme="majorHAnsi" w:cstheme="majorHAnsi"/>
                <w:i/>
              </w:rPr>
            </w:pPr>
            <w:r w:rsidRPr="00E01620">
              <w:rPr>
                <w:rFonts w:asciiTheme="majorHAnsi" w:hAnsiTheme="majorHAnsi" w:cstheme="majorHAnsi"/>
                <w:i/>
              </w:rPr>
              <w:t>Average unit production per year, FY2015-FY2017</w:t>
            </w:r>
          </w:p>
        </w:tc>
        <w:tc>
          <w:tcPr>
            <w:tcW w:w="2880" w:type="dxa"/>
          </w:tcPr>
          <w:p w:rsidR="00146F10" w:rsidRPr="00E01620" w:rsidRDefault="00146F10" w:rsidP="00BA30CC">
            <w:pPr>
              <w:jc w:val="center"/>
              <w:rPr>
                <w:rFonts w:asciiTheme="majorHAnsi" w:hAnsiTheme="majorHAnsi" w:cstheme="majorHAnsi"/>
                <w:i/>
              </w:rPr>
            </w:pPr>
            <w:r>
              <w:rPr>
                <w:rFonts w:asciiTheme="majorHAnsi" w:hAnsiTheme="majorHAnsi" w:cstheme="majorHAnsi"/>
                <w:i/>
              </w:rPr>
              <w:t>49</w:t>
            </w:r>
          </w:p>
        </w:tc>
      </w:tr>
      <w:tr w:rsidR="00146F10" w:rsidRPr="00E01620" w:rsidTr="00BA30CC">
        <w:trPr>
          <w:jc w:val="center"/>
        </w:trPr>
        <w:tc>
          <w:tcPr>
            <w:tcW w:w="3055" w:type="dxa"/>
          </w:tcPr>
          <w:p w:rsidR="00146F10" w:rsidRPr="00E01620" w:rsidRDefault="00146F10" w:rsidP="00BA30CC">
            <w:pPr>
              <w:rPr>
                <w:rFonts w:asciiTheme="majorHAnsi" w:hAnsiTheme="majorHAnsi" w:cstheme="majorHAnsi"/>
                <w:b/>
              </w:rPr>
            </w:pPr>
            <w:r w:rsidRPr="00E01620">
              <w:rPr>
                <w:rFonts w:asciiTheme="majorHAnsi" w:hAnsiTheme="majorHAnsi" w:cstheme="majorHAnsi"/>
                <w:b/>
              </w:rPr>
              <w:t>TOTAL 811 UNITS</w:t>
            </w:r>
          </w:p>
        </w:tc>
        <w:tc>
          <w:tcPr>
            <w:tcW w:w="2880" w:type="dxa"/>
          </w:tcPr>
          <w:p w:rsidR="00146F10" w:rsidRPr="00E01620" w:rsidRDefault="00146F10" w:rsidP="00BA30CC">
            <w:pPr>
              <w:jc w:val="center"/>
              <w:rPr>
                <w:rFonts w:asciiTheme="majorHAnsi" w:hAnsiTheme="majorHAnsi" w:cstheme="majorHAnsi"/>
                <w:b/>
              </w:rPr>
            </w:pPr>
            <w:r>
              <w:rPr>
                <w:rFonts w:asciiTheme="majorHAnsi" w:hAnsiTheme="majorHAnsi" w:cstheme="majorHAnsi"/>
                <w:b/>
              </w:rPr>
              <w:t>195</w:t>
            </w:r>
          </w:p>
        </w:tc>
      </w:tr>
    </w:tbl>
    <w:p w:rsidR="00146F10" w:rsidRDefault="00146F10" w:rsidP="00ED5E32">
      <w:pPr>
        <w:pStyle w:val="Default"/>
        <w:rPr>
          <w:b/>
          <w:sz w:val="22"/>
          <w:szCs w:val="22"/>
          <w:u w:val="single"/>
        </w:rPr>
      </w:pPr>
    </w:p>
    <w:p w:rsidR="00146F10" w:rsidRDefault="00146F10" w:rsidP="00ED5E32">
      <w:pPr>
        <w:pStyle w:val="Default"/>
        <w:rPr>
          <w:b/>
          <w:sz w:val="22"/>
          <w:szCs w:val="22"/>
          <w:u w:val="single"/>
        </w:rPr>
      </w:pPr>
    </w:p>
    <w:p w:rsidR="00BA0A09" w:rsidRDefault="00BA0A09" w:rsidP="00ED5E32">
      <w:pPr>
        <w:pStyle w:val="Default"/>
        <w:rPr>
          <w:b/>
          <w:sz w:val="22"/>
          <w:szCs w:val="22"/>
          <w:u w:val="single"/>
        </w:rPr>
      </w:pPr>
      <w:r>
        <w:rPr>
          <w:b/>
          <w:sz w:val="22"/>
          <w:szCs w:val="22"/>
          <w:u w:val="single"/>
        </w:rPr>
        <w:t xml:space="preserve">Table </w:t>
      </w:r>
      <w:proofErr w:type="gramStart"/>
      <w:r>
        <w:rPr>
          <w:b/>
          <w:sz w:val="22"/>
          <w:szCs w:val="22"/>
          <w:u w:val="single"/>
        </w:rPr>
        <w:t>C(</w:t>
      </w:r>
      <w:proofErr w:type="gramEnd"/>
      <w:r>
        <w:rPr>
          <w:b/>
          <w:sz w:val="22"/>
          <w:szCs w:val="22"/>
          <w:u w:val="single"/>
        </w:rPr>
        <w:t xml:space="preserve">2) – PSH Units </w:t>
      </w:r>
      <w:r w:rsidR="00F3360F">
        <w:rPr>
          <w:b/>
          <w:sz w:val="22"/>
          <w:szCs w:val="22"/>
          <w:u w:val="single"/>
        </w:rPr>
        <w:t xml:space="preserve">occupied </w:t>
      </w:r>
      <w:r>
        <w:rPr>
          <w:b/>
          <w:sz w:val="22"/>
          <w:szCs w:val="22"/>
          <w:u w:val="single"/>
        </w:rPr>
        <w:t>by types</w:t>
      </w:r>
      <w:r w:rsidR="00F3360F">
        <w:rPr>
          <w:b/>
          <w:sz w:val="22"/>
          <w:szCs w:val="22"/>
          <w:u w:val="single"/>
        </w:rPr>
        <w:t xml:space="preserve"> (FY18)</w:t>
      </w:r>
      <w:r>
        <w:rPr>
          <w:b/>
          <w:sz w:val="22"/>
          <w:szCs w:val="22"/>
          <w:u w:val="single"/>
        </w:rPr>
        <w:t>:</w:t>
      </w:r>
    </w:p>
    <w:p w:rsidR="00BA0A09" w:rsidRDefault="00BA0A09" w:rsidP="00ED5E32">
      <w:pPr>
        <w:pStyle w:val="Default"/>
        <w:rPr>
          <w:b/>
          <w:sz w:val="22"/>
          <w:szCs w:val="22"/>
          <w:u w:val="single"/>
        </w:rPr>
      </w:pPr>
    </w:p>
    <w:tbl>
      <w:tblPr>
        <w:tblStyle w:val="TableGrid"/>
        <w:tblW w:w="0" w:type="auto"/>
        <w:tblInd w:w="2605" w:type="dxa"/>
        <w:tblLook w:val="04A0" w:firstRow="1" w:lastRow="0" w:firstColumn="1" w:lastColumn="0" w:noHBand="0" w:noVBand="1"/>
      </w:tblPr>
      <w:tblGrid>
        <w:gridCol w:w="2191"/>
        <w:gridCol w:w="2039"/>
        <w:gridCol w:w="1980"/>
        <w:gridCol w:w="1980"/>
        <w:gridCol w:w="1980"/>
      </w:tblGrid>
      <w:tr w:rsidR="00B87584" w:rsidTr="00B87584">
        <w:tc>
          <w:tcPr>
            <w:tcW w:w="2191" w:type="dxa"/>
          </w:tcPr>
          <w:p w:rsidR="00B87584" w:rsidRDefault="00B87584" w:rsidP="00BA0A09">
            <w:pPr>
              <w:pStyle w:val="Default"/>
              <w:jc w:val="center"/>
              <w:rPr>
                <w:b/>
                <w:sz w:val="22"/>
                <w:szCs w:val="22"/>
                <w:u w:val="single"/>
              </w:rPr>
            </w:pPr>
            <w:r>
              <w:rPr>
                <w:b/>
                <w:sz w:val="22"/>
                <w:szCs w:val="22"/>
                <w:u w:val="single"/>
              </w:rPr>
              <w:t>PSH (regular)</w:t>
            </w:r>
          </w:p>
        </w:tc>
        <w:tc>
          <w:tcPr>
            <w:tcW w:w="2039" w:type="dxa"/>
          </w:tcPr>
          <w:p w:rsidR="00B87584" w:rsidRDefault="00B87584" w:rsidP="00BA0A09">
            <w:pPr>
              <w:pStyle w:val="Default"/>
              <w:jc w:val="center"/>
              <w:rPr>
                <w:b/>
                <w:sz w:val="22"/>
                <w:szCs w:val="22"/>
                <w:u w:val="single"/>
              </w:rPr>
            </w:pPr>
            <w:r>
              <w:rPr>
                <w:b/>
                <w:sz w:val="22"/>
                <w:szCs w:val="22"/>
                <w:u w:val="single"/>
              </w:rPr>
              <w:t>PSH (cluster)</w:t>
            </w:r>
          </w:p>
        </w:tc>
        <w:tc>
          <w:tcPr>
            <w:tcW w:w="1980" w:type="dxa"/>
          </w:tcPr>
          <w:p w:rsidR="00B87584" w:rsidRDefault="00B87584" w:rsidP="00BA0A09">
            <w:pPr>
              <w:pStyle w:val="Default"/>
              <w:jc w:val="center"/>
              <w:rPr>
                <w:b/>
                <w:sz w:val="22"/>
                <w:szCs w:val="22"/>
                <w:u w:val="single"/>
              </w:rPr>
            </w:pPr>
            <w:r>
              <w:rPr>
                <w:b/>
                <w:sz w:val="22"/>
                <w:szCs w:val="22"/>
                <w:u w:val="single"/>
              </w:rPr>
              <w:t>SRN</w:t>
            </w:r>
          </w:p>
        </w:tc>
        <w:tc>
          <w:tcPr>
            <w:tcW w:w="1980" w:type="dxa"/>
          </w:tcPr>
          <w:p w:rsidR="00B87584" w:rsidRDefault="00B87584" w:rsidP="00BA0A09">
            <w:pPr>
              <w:pStyle w:val="Default"/>
              <w:jc w:val="center"/>
              <w:rPr>
                <w:b/>
                <w:sz w:val="22"/>
                <w:szCs w:val="22"/>
                <w:u w:val="single"/>
              </w:rPr>
            </w:pPr>
            <w:r>
              <w:rPr>
                <w:b/>
                <w:sz w:val="22"/>
                <w:szCs w:val="22"/>
                <w:u w:val="single"/>
              </w:rPr>
              <w:t>811</w:t>
            </w:r>
          </w:p>
        </w:tc>
        <w:tc>
          <w:tcPr>
            <w:tcW w:w="1980" w:type="dxa"/>
          </w:tcPr>
          <w:p w:rsidR="00B87584" w:rsidRDefault="00B87584" w:rsidP="00BA0A09">
            <w:pPr>
              <w:pStyle w:val="Default"/>
              <w:jc w:val="center"/>
              <w:rPr>
                <w:b/>
                <w:sz w:val="22"/>
                <w:szCs w:val="22"/>
                <w:u w:val="single"/>
              </w:rPr>
            </w:pPr>
            <w:r>
              <w:rPr>
                <w:b/>
                <w:sz w:val="22"/>
                <w:szCs w:val="22"/>
                <w:u w:val="single"/>
              </w:rPr>
              <w:t>Conversion</w:t>
            </w:r>
          </w:p>
        </w:tc>
      </w:tr>
      <w:tr w:rsidR="00B87584" w:rsidTr="00B87584">
        <w:tc>
          <w:tcPr>
            <w:tcW w:w="2191" w:type="dxa"/>
          </w:tcPr>
          <w:p w:rsidR="00B87584" w:rsidRDefault="008B2A60" w:rsidP="00BA0A09">
            <w:pPr>
              <w:pStyle w:val="Default"/>
              <w:jc w:val="center"/>
              <w:rPr>
                <w:b/>
                <w:sz w:val="22"/>
                <w:szCs w:val="22"/>
                <w:u w:val="single"/>
              </w:rPr>
            </w:pPr>
            <w:r>
              <w:rPr>
                <w:b/>
                <w:sz w:val="22"/>
                <w:szCs w:val="22"/>
                <w:u w:val="single"/>
              </w:rPr>
              <w:t>1,154</w:t>
            </w:r>
          </w:p>
        </w:tc>
        <w:tc>
          <w:tcPr>
            <w:tcW w:w="2039" w:type="dxa"/>
          </w:tcPr>
          <w:p w:rsidR="00B87584" w:rsidRDefault="00B87584" w:rsidP="00BA0A09">
            <w:pPr>
              <w:pStyle w:val="Default"/>
              <w:jc w:val="center"/>
              <w:rPr>
                <w:b/>
                <w:sz w:val="22"/>
                <w:szCs w:val="22"/>
                <w:u w:val="single"/>
              </w:rPr>
            </w:pPr>
            <w:r>
              <w:rPr>
                <w:b/>
                <w:sz w:val="22"/>
                <w:szCs w:val="22"/>
                <w:u w:val="single"/>
              </w:rPr>
              <w:t>40</w:t>
            </w:r>
          </w:p>
        </w:tc>
        <w:tc>
          <w:tcPr>
            <w:tcW w:w="1980" w:type="dxa"/>
          </w:tcPr>
          <w:p w:rsidR="00B87584" w:rsidRDefault="00B87584" w:rsidP="00BA0A09">
            <w:pPr>
              <w:pStyle w:val="Default"/>
              <w:jc w:val="center"/>
              <w:rPr>
                <w:b/>
                <w:sz w:val="22"/>
                <w:szCs w:val="22"/>
                <w:u w:val="single"/>
              </w:rPr>
            </w:pPr>
            <w:r>
              <w:rPr>
                <w:b/>
                <w:sz w:val="22"/>
                <w:szCs w:val="22"/>
                <w:u w:val="single"/>
              </w:rPr>
              <w:t>5</w:t>
            </w:r>
          </w:p>
        </w:tc>
        <w:tc>
          <w:tcPr>
            <w:tcW w:w="1980" w:type="dxa"/>
          </w:tcPr>
          <w:p w:rsidR="00B87584" w:rsidRDefault="00B87584" w:rsidP="00BA0A09">
            <w:pPr>
              <w:pStyle w:val="Default"/>
              <w:jc w:val="center"/>
              <w:rPr>
                <w:b/>
                <w:sz w:val="22"/>
                <w:szCs w:val="22"/>
                <w:u w:val="single"/>
              </w:rPr>
            </w:pPr>
            <w:r>
              <w:rPr>
                <w:b/>
                <w:sz w:val="22"/>
                <w:szCs w:val="22"/>
                <w:u w:val="single"/>
              </w:rPr>
              <w:t>40</w:t>
            </w:r>
          </w:p>
        </w:tc>
        <w:tc>
          <w:tcPr>
            <w:tcW w:w="1980" w:type="dxa"/>
          </w:tcPr>
          <w:p w:rsidR="00B87584" w:rsidRDefault="00D60020" w:rsidP="00BA0A09">
            <w:pPr>
              <w:pStyle w:val="Default"/>
              <w:jc w:val="center"/>
              <w:rPr>
                <w:b/>
                <w:sz w:val="22"/>
                <w:szCs w:val="22"/>
                <w:u w:val="single"/>
              </w:rPr>
            </w:pPr>
            <w:r>
              <w:rPr>
                <w:b/>
                <w:sz w:val="22"/>
                <w:szCs w:val="22"/>
                <w:u w:val="single"/>
              </w:rPr>
              <w:t>281</w:t>
            </w:r>
          </w:p>
        </w:tc>
      </w:tr>
      <w:tr w:rsidR="00B87584" w:rsidTr="00B87584">
        <w:tc>
          <w:tcPr>
            <w:tcW w:w="2191" w:type="dxa"/>
          </w:tcPr>
          <w:p w:rsidR="00B87584" w:rsidRDefault="00B87584" w:rsidP="00BA0A09">
            <w:pPr>
              <w:pStyle w:val="Default"/>
              <w:jc w:val="center"/>
              <w:rPr>
                <w:b/>
                <w:sz w:val="22"/>
                <w:szCs w:val="22"/>
                <w:u w:val="single"/>
              </w:rPr>
            </w:pPr>
          </w:p>
        </w:tc>
        <w:tc>
          <w:tcPr>
            <w:tcW w:w="2039" w:type="dxa"/>
          </w:tcPr>
          <w:p w:rsidR="00B87584" w:rsidRDefault="00B87584" w:rsidP="00BA0A09">
            <w:pPr>
              <w:pStyle w:val="Default"/>
              <w:jc w:val="center"/>
              <w:rPr>
                <w:b/>
                <w:sz w:val="22"/>
                <w:szCs w:val="22"/>
                <w:u w:val="single"/>
              </w:rPr>
            </w:pPr>
          </w:p>
        </w:tc>
        <w:tc>
          <w:tcPr>
            <w:tcW w:w="1980" w:type="dxa"/>
          </w:tcPr>
          <w:p w:rsidR="00B87584" w:rsidRDefault="00B87584" w:rsidP="00BA0A09">
            <w:pPr>
              <w:pStyle w:val="Default"/>
              <w:jc w:val="center"/>
              <w:rPr>
                <w:b/>
                <w:sz w:val="22"/>
                <w:szCs w:val="22"/>
                <w:u w:val="single"/>
              </w:rPr>
            </w:pPr>
          </w:p>
        </w:tc>
        <w:tc>
          <w:tcPr>
            <w:tcW w:w="1980" w:type="dxa"/>
          </w:tcPr>
          <w:p w:rsidR="00B87584" w:rsidRDefault="00B87584" w:rsidP="00BA0A09">
            <w:pPr>
              <w:pStyle w:val="Default"/>
              <w:jc w:val="center"/>
              <w:rPr>
                <w:b/>
                <w:sz w:val="22"/>
                <w:szCs w:val="22"/>
                <w:u w:val="single"/>
              </w:rPr>
            </w:pPr>
          </w:p>
        </w:tc>
        <w:tc>
          <w:tcPr>
            <w:tcW w:w="1980" w:type="dxa"/>
          </w:tcPr>
          <w:p w:rsidR="00B87584" w:rsidRDefault="00B87584" w:rsidP="00BA0A09">
            <w:pPr>
              <w:pStyle w:val="Default"/>
              <w:jc w:val="center"/>
              <w:rPr>
                <w:b/>
                <w:sz w:val="22"/>
                <w:szCs w:val="22"/>
                <w:u w:val="single"/>
              </w:rPr>
            </w:pPr>
          </w:p>
        </w:tc>
      </w:tr>
    </w:tbl>
    <w:p w:rsidR="00BA0A09" w:rsidRDefault="00BA0A09" w:rsidP="00ED5E32">
      <w:pPr>
        <w:pStyle w:val="Default"/>
        <w:rPr>
          <w:b/>
          <w:sz w:val="22"/>
          <w:szCs w:val="22"/>
          <w:u w:val="single"/>
        </w:rPr>
      </w:pPr>
    </w:p>
    <w:p w:rsidR="00BA0A09" w:rsidRDefault="00BA0A09" w:rsidP="00ED5E32">
      <w:pPr>
        <w:pStyle w:val="Default"/>
        <w:rPr>
          <w:b/>
          <w:sz w:val="22"/>
          <w:szCs w:val="22"/>
          <w:u w:val="single"/>
        </w:rPr>
      </w:pPr>
    </w:p>
    <w:p w:rsidR="00ED5E32" w:rsidRDefault="00ED5E32" w:rsidP="00C05E79">
      <w:pPr>
        <w:pStyle w:val="Default"/>
        <w:spacing w:line="276" w:lineRule="auto"/>
        <w:rPr>
          <w:b/>
          <w:sz w:val="22"/>
          <w:szCs w:val="22"/>
          <w:u w:val="single"/>
        </w:rPr>
      </w:pPr>
      <w:r w:rsidRPr="000D4F2C">
        <w:rPr>
          <w:b/>
          <w:sz w:val="22"/>
          <w:szCs w:val="22"/>
          <w:u w:val="single"/>
        </w:rPr>
        <w:t xml:space="preserve">HUD Section 811 Program </w:t>
      </w:r>
    </w:p>
    <w:p w:rsidR="007A70E3" w:rsidRPr="000D4F2C" w:rsidRDefault="007A70E3" w:rsidP="00C05E79">
      <w:pPr>
        <w:pStyle w:val="Default"/>
        <w:spacing w:line="276" w:lineRule="auto"/>
        <w:rPr>
          <w:b/>
          <w:sz w:val="22"/>
          <w:szCs w:val="22"/>
          <w:u w:val="single"/>
        </w:rPr>
      </w:pPr>
    </w:p>
    <w:p w:rsidR="00ED5E32" w:rsidRPr="00C05E79" w:rsidRDefault="00ED5E32" w:rsidP="00C05E79">
      <w:pPr>
        <w:pStyle w:val="Default"/>
        <w:spacing w:line="276" w:lineRule="auto"/>
        <w:rPr>
          <w:sz w:val="22"/>
          <w:szCs w:val="22"/>
        </w:rPr>
      </w:pPr>
      <w:r w:rsidRPr="00C05E79">
        <w:rPr>
          <w:sz w:val="22"/>
          <w:szCs w:val="22"/>
        </w:rPr>
        <w:t xml:space="preserve">The Section 811 Project Based Rental Assistance Demonstration Program </w:t>
      </w:r>
      <w:proofErr w:type="gramStart"/>
      <w:r w:rsidR="00140198">
        <w:rPr>
          <w:sz w:val="22"/>
          <w:szCs w:val="22"/>
        </w:rPr>
        <w:t xml:space="preserve">provides </w:t>
      </w:r>
      <w:r w:rsidRPr="00C05E79">
        <w:rPr>
          <w:sz w:val="22"/>
          <w:szCs w:val="22"/>
        </w:rPr>
        <w:t>assist</w:t>
      </w:r>
      <w:r w:rsidR="00140198">
        <w:rPr>
          <w:sz w:val="22"/>
          <w:szCs w:val="22"/>
        </w:rPr>
        <w:t>ance to</w:t>
      </w:r>
      <w:proofErr w:type="gramEnd"/>
      <w:r w:rsidRPr="00C05E79">
        <w:rPr>
          <w:sz w:val="22"/>
          <w:szCs w:val="22"/>
        </w:rPr>
        <w:t xml:space="preserve"> low-income households with long-term disabilities to live independently in the community by providing affordable housing linked with voluntary services and supports. </w:t>
      </w:r>
      <w:r w:rsidR="007A70E3" w:rsidRPr="00C05E79">
        <w:rPr>
          <w:sz w:val="22"/>
          <w:szCs w:val="22"/>
        </w:rPr>
        <w:t xml:space="preserve"> </w:t>
      </w:r>
      <w:r w:rsidR="000E434B" w:rsidRPr="00C05E79">
        <w:rPr>
          <w:sz w:val="22"/>
          <w:szCs w:val="22"/>
        </w:rPr>
        <w:t>During the first round</w:t>
      </w:r>
      <w:r w:rsidR="00140198">
        <w:rPr>
          <w:sz w:val="22"/>
          <w:szCs w:val="22"/>
        </w:rPr>
        <w:t xml:space="preserve"> of Section 811 Project Based awards</w:t>
      </w:r>
      <w:r w:rsidR="000E434B" w:rsidRPr="00C05E79">
        <w:rPr>
          <w:sz w:val="22"/>
          <w:szCs w:val="22"/>
        </w:rPr>
        <w:t>, t</w:t>
      </w:r>
      <w:r w:rsidRPr="00C05E79">
        <w:rPr>
          <w:sz w:val="22"/>
          <w:szCs w:val="22"/>
        </w:rPr>
        <w:t xml:space="preserve">he State was awarded $11.9 million from HUD to provide project-based vouchers to persons with disabilities who were </w:t>
      </w:r>
      <w:r w:rsidR="000E434B" w:rsidRPr="00C05E79">
        <w:rPr>
          <w:sz w:val="22"/>
          <w:szCs w:val="22"/>
        </w:rPr>
        <w:t xml:space="preserve">residents of </w:t>
      </w:r>
      <w:r w:rsidRPr="00C05E79">
        <w:rPr>
          <w:sz w:val="22"/>
          <w:szCs w:val="22"/>
        </w:rPr>
        <w:t xml:space="preserve">nursing homes and other institutional facilities to </w:t>
      </w:r>
      <w:r w:rsidR="000E434B" w:rsidRPr="00C05E79">
        <w:rPr>
          <w:sz w:val="22"/>
          <w:szCs w:val="22"/>
        </w:rPr>
        <w:t>assist with</w:t>
      </w:r>
      <w:r w:rsidRPr="00C05E79">
        <w:rPr>
          <w:sz w:val="22"/>
          <w:szCs w:val="22"/>
        </w:rPr>
        <w:t xml:space="preserve"> the</w:t>
      </w:r>
      <w:r w:rsidR="000E434B" w:rsidRPr="00C05E79">
        <w:rPr>
          <w:sz w:val="22"/>
          <w:szCs w:val="22"/>
        </w:rPr>
        <w:t xml:space="preserve">ir </w:t>
      </w:r>
      <w:r w:rsidRPr="00C05E79">
        <w:rPr>
          <w:sz w:val="22"/>
          <w:szCs w:val="22"/>
        </w:rPr>
        <w:t xml:space="preserve">transition back into the community. </w:t>
      </w:r>
      <w:r w:rsidR="007A70E3" w:rsidRPr="00C05E79">
        <w:rPr>
          <w:sz w:val="22"/>
          <w:szCs w:val="22"/>
        </w:rPr>
        <w:t xml:space="preserve"> </w:t>
      </w:r>
      <w:r w:rsidRPr="00C05E79">
        <w:rPr>
          <w:sz w:val="22"/>
          <w:szCs w:val="22"/>
        </w:rPr>
        <w:t xml:space="preserve">This </w:t>
      </w:r>
      <w:r w:rsidR="00140198">
        <w:rPr>
          <w:sz w:val="22"/>
          <w:szCs w:val="22"/>
        </w:rPr>
        <w:t xml:space="preserve">funding </w:t>
      </w:r>
      <w:r w:rsidRPr="00C05E79">
        <w:rPr>
          <w:sz w:val="22"/>
          <w:szCs w:val="22"/>
        </w:rPr>
        <w:t>also help</w:t>
      </w:r>
      <w:r w:rsidR="007A70E3" w:rsidRPr="00C05E79">
        <w:rPr>
          <w:sz w:val="22"/>
          <w:szCs w:val="22"/>
        </w:rPr>
        <w:t>ed</w:t>
      </w:r>
      <w:r w:rsidRPr="00C05E79">
        <w:rPr>
          <w:sz w:val="22"/>
          <w:szCs w:val="22"/>
        </w:rPr>
        <w:t xml:space="preserve"> Illinois meet obligations </w:t>
      </w:r>
      <w:r w:rsidR="007A70E3" w:rsidRPr="00C05E79">
        <w:rPr>
          <w:sz w:val="22"/>
          <w:szCs w:val="22"/>
        </w:rPr>
        <w:t xml:space="preserve">to develop affordable housing </w:t>
      </w:r>
      <w:r w:rsidRPr="00C05E79">
        <w:rPr>
          <w:sz w:val="22"/>
          <w:szCs w:val="22"/>
        </w:rPr>
        <w:t xml:space="preserve">set </w:t>
      </w:r>
      <w:r w:rsidR="000E434B" w:rsidRPr="00C05E79">
        <w:rPr>
          <w:sz w:val="22"/>
          <w:szCs w:val="22"/>
        </w:rPr>
        <w:t>forth</w:t>
      </w:r>
      <w:r w:rsidRPr="00C05E79">
        <w:rPr>
          <w:sz w:val="22"/>
          <w:szCs w:val="22"/>
        </w:rPr>
        <w:t xml:space="preserve"> by the three</w:t>
      </w:r>
      <w:r w:rsidR="00140198">
        <w:rPr>
          <w:sz w:val="22"/>
          <w:szCs w:val="22"/>
        </w:rPr>
        <w:t xml:space="preserve"> Olmstead </w:t>
      </w:r>
      <w:r w:rsidR="007A70E3" w:rsidRPr="00C05E79">
        <w:rPr>
          <w:sz w:val="22"/>
          <w:szCs w:val="22"/>
        </w:rPr>
        <w:t>C</w:t>
      </w:r>
      <w:r w:rsidRPr="00C05E79">
        <w:rPr>
          <w:sz w:val="22"/>
          <w:szCs w:val="22"/>
        </w:rPr>
        <w:t xml:space="preserve">onsent </w:t>
      </w:r>
      <w:r w:rsidR="007A70E3" w:rsidRPr="00C05E79">
        <w:rPr>
          <w:sz w:val="22"/>
          <w:szCs w:val="22"/>
        </w:rPr>
        <w:t>D</w:t>
      </w:r>
      <w:r w:rsidRPr="00C05E79">
        <w:rPr>
          <w:sz w:val="22"/>
          <w:szCs w:val="22"/>
        </w:rPr>
        <w:t xml:space="preserve">ecrees (Williams, Colbert and </w:t>
      </w:r>
      <w:proofErr w:type="spellStart"/>
      <w:r w:rsidRPr="00C05E79">
        <w:rPr>
          <w:sz w:val="22"/>
          <w:szCs w:val="22"/>
        </w:rPr>
        <w:t>Ligas</w:t>
      </w:r>
      <w:proofErr w:type="spellEnd"/>
      <w:r w:rsidRPr="00C05E79">
        <w:rPr>
          <w:sz w:val="22"/>
          <w:szCs w:val="22"/>
        </w:rPr>
        <w:t xml:space="preserve">) as well as the </w:t>
      </w:r>
      <w:r w:rsidR="000E434B" w:rsidRPr="00C05E79">
        <w:rPr>
          <w:sz w:val="22"/>
          <w:szCs w:val="22"/>
        </w:rPr>
        <w:t xml:space="preserve">former federal </w:t>
      </w:r>
      <w:r w:rsidRPr="00C05E79">
        <w:rPr>
          <w:sz w:val="22"/>
          <w:szCs w:val="22"/>
        </w:rPr>
        <w:t xml:space="preserve">Money Follows the Person </w:t>
      </w:r>
      <w:r w:rsidR="000E434B" w:rsidRPr="00C05E79">
        <w:rPr>
          <w:sz w:val="22"/>
          <w:szCs w:val="22"/>
        </w:rPr>
        <w:t>(MFP) p</w:t>
      </w:r>
      <w:r w:rsidRPr="00C05E79">
        <w:rPr>
          <w:sz w:val="22"/>
          <w:szCs w:val="22"/>
        </w:rPr>
        <w:t xml:space="preserve">rogram and </w:t>
      </w:r>
      <w:r w:rsidR="00140198">
        <w:rPr>
          <w:sz w:val="22"/>
          <w:szCs w:val="22"/>
        </w:rPr>
        <w:t xml:space="preserve">housing needed </w:t>
      </w:r>
      <w:proofErr w:type="gramStart"/>
      <w:r w:rsidR="00140198">
        <w:rPr>
          <w:sz w:val="22"/>
          <w:szCs w:val="22"/>
        </w:rPr>
        <w:t>as a result of</w:t>
      </w:r>
      <w:proofErr w:type="gramEnd"/>
      <w:r w:rsidR="00140198">
        <w:rPr>
          <w:sz w:val="22"/>
          <w:szCs w:val="22"/>
        </w:rPr>
        <w:t xml:space="preserve"> the closure of a number of </w:t>
      </w:r>
      <w:r w:rsidRPr="00C05E79">
        <w:rPr>
          <w:sz w:val="22"/>
          <w:szCs w:val="22"/>
        </w:rPr>
        <w:t>S</w:t>
      </w:r>
      <w:r w:rsidR="000E434B" w:rsidRPr="00C05E79">
        <w:rPr>
          <w:sz w:val="22"/>
          <w:szCs w:val="22"/>
        </w:rPr>
        <w:t>tate Operated Developmental Centers (S</w:t>
      </w:r>
      <w:r w:rsidRPr="00C05E79">
        <w:rPr>
          <w:sz w:val="22"/>
          <w:szCs w:val="22"/>
        </w:rPr>
        <w:t>ODC</w:t>
      </w:r>
      <w:r w:rsidR="000E434B" w:rsidRPr="00C05E79">
        <w:rPr>
          <w:sz w:val="22"/>
          <w:szCs w:val="22"/>
        </w:rPr>
        <w:t xml:space="preserve">). </w:t>
      </w:r>
      <w:r w:rsidR="007A70E3" w:rsidRPr="00C05E79">
        <w:rPr>
          <w:sz w:val="22"/>
          <w:szCs w:val="22"/>
        </w:rPr>
        <w:t xml:space="preserve"> </w:t>
      </w:r>
      <w:r w:rsidRPr="00C05E79">
        <w:rPr>
          <w:sz w:val="22"/>
          <w:szCs w:val="22"/>
        </w:rPr>
        <w:t>Th</w:t>
      </w:r>
      <w:r w:rsidR="007A70E3" w:rsidRPr="00C05E79">
        <w:rPr>
          <w:sz w:val="22"/>
          <w:szCs w:val="22"/>
        </w:rPr>
        <w:t>is</w:t>
      </w:r>
      <w:r w:rsidRPr="00C05E79">
        <w:rPr>
          <w:sz w:val="22"/>
          <w:szCs w:val="22"/>
        </w:rPr>
        <w:t xml:space="preserve"> round of funding subsidize</w:t>
      </w:r>
      <w:r w:rsidR="000E434B" w:rsidRPr="00C05E79">
        <w:rPr>
          <w:sz w:val="22"/>
          <w:szCs w:val="22"/>
        </w:rPr>
        <w:t>d</w:t>
      </w:r>
      <w:r w:rsidR="007A70E3" w:rsidRPr="00C05E79">
        <w:rPr>
          <w:sz w:val="22"/>
          <w:szCs w:val="22"/>
        </w:rPr>
        <w:t xml:space="preserve"> </w:t>
      </w:r>
      <w:r w:rsidRPr="00C05E79">
        <w:rPr>
          <w:sz w:val="22"/>
          <w:szCs w:val="22"/>
        </w:rPr>
        <w:t xml:space="preserve">370 </w:t>
      </w:r>
      <w:r w:rsidR="007A70E3" w:rsidRPr="00C05E79">
        <w:rPr>
          <w:sz w:val="22"/>
          <w:szCs w:val="22"/>
        </w:rPr>
        <w:t xml:space="preserve">new </w:t>
      </w:r>
      <w:r w:rsidR="000E434B" w:rsidRPr="00C05E79">
        <w:rPr>
          <w:sz w:val="22"/>
          <w:szCs w:val="22"/>
        </w:rPr>
        <w:t xml:space="preserve">PSH </w:t>
      </w:r>
      <w:r w:rsidRPr="00C05E79">
        <w:rPr>
          <w:sz w:val="22"/>
          <w:szCs w:val="22"/>
        </w:rPr>
        <w:t xml:space="preserve">units. </w:t>
      </w:r>
      <w:r w:rsidR="000E434B" w:rsidRPr="00C05E79">
        <w:rPr>
          <w:sz w:val="22"/>
          <w:szCs w:val="22"/>
        </w:rPr>
        <w:t xml:space="preserve"> </w:t>
      </w:r>
      <w:r w:rsidRPr="00C05E79">
        <w:rPr>
          <w:sz w:val="22"/>
          <w:szCs w:val="22"/>
        </w:rPr>
        <w:t xml:space="preserve">HUD </w:t>
      </w:r>
      <w:r w:rsidR="000E434B" w:rsidRPr="00C05E79">
        <w:rPr>
          <w:sz w:val="22"/>
          <w:szCs w:val="22"/>
        </w:rPr>
        <w:t xml:space="preserve">subsequently </w:t>
      </w:r>
      <w:r w:rsidRPr="00C05E79">
        <w:rPr>
          <w:sz w:val="22"/>
          <w:szCs w:val="22"/>
        </w:rPr>
        <w:t>announced a second round of 811 funding</w:t>
      </w:r>
      <w:r w:rsidR="000E434B" w:rsidRPr="00C05E79">
        <w:rPr>
          <w:sz w:val="22"/>
          <w:szCs w:val="22"/>
        </w:rPr>
        <w:t>, of which Illinois (</w:t>
      </w:r>
      <w:r w:rsidRPr="00C05E79">
        <w:rPr>
          <w:sz w:val="22"/>
          <w:szCs w:val="22"/>
        </w:rPr>
        <w:t>IHDA</w:t>
      </w:r>
      <w:r w:rsidR="000E434B" w:rsidRPr="00C05E79">
        <w:rPr>
          <w:sz w:val="22"/>
          <w:szCs w:val="22"/>
        </w:rPr>
        <w:t>)</w:t>
      </w:r>
      <w:r w:rsidRPr="00C05E79">
        <w:rPr>
          <w:sz w:val="22"/>
          <w:szCs w:val="22"/>
        </w:rPr>
        <w:t xml:space="preserve"> was awarded $6.42 million</w:t>
      </w:r>
      <w:r w:rsidR="00996FC2">
        <w:rPr>
          <w:sz w:val="22"/>
          <w:szCs w:val="22"/>
        </w:rPr>
        <w:t xml:space="preserve"> dollars. </w:t>
      </w:r>
      <w:r w:rsidR="007A70E3" w:rsidRPr="00C05E79">
        <w:rPr>
          <w:sz w:val="22"/>
          <w:szCs w:val="22"/>
        </w:rPr>
        <w:t>T</w:t>
      </w:r>
      <w:r w:rsidR="000E434B" w:rsidRPr="00C05E79">
        <w:rPr>
          <w:sz w:val="22"/>
          <w:szCs w:val="22"/>
        </w:rPr>
        <w:t xml:space="preserve">he second round </w:t>
      </w:r>
      <w:r w:rsidR="007A70E3" w:rsidRPr="00C05E79">
        <w:rPr>
          <w:sz w:val="22"/>
          <w:szCs w:val="22"/>
        </w:rPr>
        <w:t xml:space="preserve">of 811 funding </w:t>
      </w:r>
      <w:r w:rsidR="000E434B" w:rsidRPr="00C05E79">
        <w:rPr>
          <w:sz w:val="22"/>
          <w:szCs w:val="22"/>
        </w:rPr>
        <w:t>subsidized an additional</w:t>
      </w:r>
      <w:r w:rsidRPr="00C05E79">
        <w:rPr>
          <w:sz w:val="22"/>
          <w:szCs w:val="22"/>
        </w:rPr>
        <w:t xml:space="preserve"> 200 households. </w:t>
      </w:r>
    </w:p>
    <w:p w:rsidR="00ED5E32" w:rsidRPr="00C05E79" w:rsidRDefault="00ED5E32" w:rsidP="00C05E79">
      <w:pPr>
        <w:pStyle w:val="Default"/>
        <w:spacing w:line="276" w:lineRule="auto"/>
        <w:rPr>
          <w:sz w:val="22"/>
          <w:szCs w:val="22"/>
        </w:rPr>
      </w:pPr>
    </w:p>
    <w:p w:rsidR="00ED5E32" w:rsidRPr="00C05E79" w:rsidRDefault="00ED5E32" w:rsidP="00C05E79">
      <w:pPr>
        <w:autoSpaceDE w:val="0"/>
        <w:autoSpaceDN w:val="0"/>
        <w:adjustRightInd w:val="0"/>
        <w:spacing w:after="0"/>
        <w:rPr>
          <w:rFonts w:cs="Calibri"/>
          <w:color w:val="000000"/>
        </w:rPr>
      </w:pPr>
      <w:r w:rsidRPr="00C05E79">
        <w:t>A</w:t>
      </w:r>
      <w:r w:rsidR="000E434B" w:rsidRPr="00C05E79">
        <w:t>n ongoing</w:t>
      </w:r>
      <w:r w:rsidRPr="00C05E79">
        <w:t xml:space="preserve"> Section 811 Interagency Panel that includes IHDA, DHS, and HFS meet</w:t>
      </w:r>
      <w:r w:rsidR="007A70E3" w:rsidRPr="00C05E79">
        <w:t>s</w:t>
      </w:r>
      <w:r w:rsidRPr="00C05E79">
        <w:t xml:space="preserve"> regularly to review data and interagency initiatives to </w:t>
      </w:r>
      <w:r w:rsidR="000E434B" w:rsidRPr="00C05E79">
        <w:t xml:space="preserve">better </w:t>
      </w:r>
      <w:r w:rsidRPr="00C05E79">
        <w:t>improve access to 811 units.</w:t>
      </w:r>
      <w:r w:rsidR="000E434B" w:rsidRPr="00C05E79">
        <w:t xml:space="preserve"> </w:t>
      </w:r>
      <w:r w:rsidRPr="00C05E79">
        <w:t xml:space="preserve"> </w:t>
      </w:r>
      <w:r w:rsidR="000E434B" w:rsidRPr="00C05E79">
        <w:t>Such discussions include</w:t>
      </w:r>
      <w:r w:rsidRPr="00C05E79">
        <w:t xml:space="preserve"> determining the communities of preference in each LIHTC Qualified Allocation Plan (</w:t>
      </w:r>
      <w:r w:rsidR="007A70E3" w:rsidRPr="00C05E79">
        <w:t xml:space="preserve">QAP) </w:t>
      </w:r>
      <w:r w:rsidRPr="00C05E79">
        <w:t xml:space="preserve">that guides LIHTC awards. </w:t>
      </w:r>
      <w:r w:rsidR="000E434B" w:rsidRPr="00C05E79">
        <w:t xml:space="preserve"> </w:t>
      </w:r>
      <w:r w:rsidRPr="00C05E79">
        <w:t>Proposed developments with SRN unit building</w:t>
      </w:r>
      <w:r w:rsidR="00775021">
        <w:t>s,</w:t>
      </w:r>
      <w:r w:rsidRPr="00C05E79">
        <w:t xml:space="preserve"> in communities of preference</w:t>
      </w:r>
      <w:r w:rsidR="00775021">
        <w:t>,</w:t>
      </w:r>
      <w:r w:rsidRPr="00C05E79">
        <w:t xml:space="preserve"> are awarded additional points in the QAP to encourage affordable housing development in those areas where eligible 811 applicants have moved and wish to move. The group also discusses HUD compliance matters, new reports that may be useful for program evaluation, training opportunities to use PAIR and possible pilots to improve the PAIR module’s function</w:t>
      </w:r>
      <w:r w:rsidR="00775021">
        <w:t>ality</w:t>
      </w:r>
      <w:r w:rsidRPr="00C05E79">
        <w:t>.</w:t>
      </w:r>
    </w:p>
    <w:p w:rsidR="00ED5E32" w:rsidRPr="00C05E79" w:rsidRDefault="00ED5E32" w:rsidP="00C05E79">
      <w:pPr>
        <w:autoSpaceDE w:val="0"/>
        <w:autoSpaceDN w:val="0"/>
        <w:adjustRightInd w:val="0"/>
        <w:spacing w:after="0"/>
        <w:rPr>
          <w:rFonts w:cs="Symbol"/>
          <w:color w:val="000000"/>
        </w:rPr>
      </w:pPr>
    </w:p>
    <w:p w:rsidR="005323AF" w:rsidRDefault="005323AF" w:rsidP="00C05E79">
      <w:pPr>
        <w:autoSpaceDE w:val="0"/>
        <w:autoSpaceDN w:val="0"/>
        <w:adjustRightInd w:val="0"/>
        <w:spacing w:after="0"/>
        <w:rPr>
          <w:rFonts w:cs="Calibri"/>
          <w:b/>
          <w:color w:val="000000"/>
          <w:u w:val="single"/>
        </w:rPr>
      </w:pPr>
    </w:p>
    <w:p w:rsidR="00ED5E32" w:rsidRPr="00C05E79" w:rsidRDefault="00ED5E32" w:rsidP="00C05E79">
      <w:pPr>
        <w:autoSpaceDE w:val="0"/>
        <w:autoSpaceDN w:val="0"/>
        <w:adjustRightInd w:val="0"/>
        <w:spacing w:after="0"/>
        <w:rPr>
          <w:rFonts w:cs="Calibri"/>
          <w:b/>
          <w:color w:val="000000"/>
          <w:u w:val="single"/>
        </w:rPr>
      </w:pPr>
      <w:r w:rsidRPr="00C05E79">
        <w:rPr>
          <w:rFonts w:cs="Calibri"/>
          <w:b/>
          <w:color w:val="000000"/>
          <w:u w:val="single"/>
        </w:rPr>
        <w:t>811 Unit Rental Assistance Contracts (RACs)</w:t>
      </w:r>
      <w:r w:rsidR="000E434B" w:rsidRPr="00C05E79">
        <w:rPr>
          <w:rFonts w:cs="Calibri"/>
          <w:b/>
          <w:color w:val="000000"/>
          <w:u w:val="single"/>
        </w:rPr>
        <w:t>, expansion</w:t>
      </w:r>
      <w:r w:rsidRPr="00C05E79">
        <w:rPr>
          <w:rFonts w:cs="Calibri"/>
          <w:b/>
          <w:color w:val="000000"/>
          <w:u w:val="single"/>
        </w:rPr>
        <w:t xml:space="preserve"> by year </w:t>
      </w:r>
    </w:p>
    <w:p w:rsidR="00ED5E32" w:rsidRPr="00C05E79" w:rsidRDefault="00ED5E32" w:rsidP="00C05E79">
      <w:pPr>
        <w:autoSpaceDE w:val="0"/>
        <w:autoSpaceDN w:val="0"/>
        <w:adjustRightInd w:val="0"/>
        <w:spacing w:after="0"/>
        <w:rPr>
          <w:rFonts w:cs="Calibri"/>
          <w:color w:val="000000"/>
        </w:rPr>
      </w:pPr>
    </w:p>
    <w:p w:rsidR="00ED5E32" w:rsidRPr="00C05E79" w:rsidRDefault="00ED5E32" w:rsidP="00C05E79">
      <w:pPr>
        <w:spacing w:after="0"/>
        <w:rPr>
          <w:rFonts w:cs="Calibri"/>
          <w:color w:val="000000"/>
        </w:rPr>
      </w:pPr>
      <w:r w:rsidRPr="00C05E79">
        <w:rPr>
          <w:rFonts w:cs="Calibri"/>
          <w:color w:val="000000"/>
        </w:rPr>
        <w:t xml:space="preserve">Some of the 811 units </w:t>
      </w:r>
      <w:r w:rsidR="004A3A05">
        <w:rPr>
          <w:rFonts w:cs="Calibri"/>
          <w:color w:val="000000"/>
        </w:rPr>
        <w:t>also have subsidies attached to them via the SRN, therefore the 811 and SRN unit count may overlap.</w:t>
      </w:r>
      <w:r w:rsidRPr="00C05E79">
        <w:rPr>
          <w:rFonts w:cs="Calibri"/>
          <w:color w:val="000000"/>
        </w:rPr>
        <w:t xml:space="preserve"> </w:t>
      </w:r>
      <w:r w:rsidR="000E434B" w:rsidRPr="00C05E79">
        <w:rPr>
          <w:rFonts w:cs="Calibri"/>
          <w:color w:val="000000"/>
        </w:rPr>
        <w:t xml:space="preserve"> </w:t>
      </w:r>
      <w:r w:rsidRPr="00C05E79">
        <w:rPr>
          <w:rFonts w:cs="Calibri"/>
          <w:color w:val="000000"/>
        </w:rPr>
        <w:t>811 units can be captured but not available for lease until turnover of the unit (</w:t>
      </w:r>
      <w:r w:rsidR="004A3A05">
        <w:rPr>
          <w:rFonts w:cs="Calibri"/>
          <w:color w:val="000000"/>
        </w:rPr>
        <w:t xml:space="preserve">where </w:t>
      </w:r>
      <w:r w:rsidRPr="00C05E79">
        <w:rPr>
          <w:rFonts w:cs="Calibri"/>
          <w:color w:val="000000"/>
        </w:rPr>
        <w:t>the unit is initially occupied at creation of the RAC).</w:t>
      </w:r>
      <w:r w:rsidR="007A70E3" w:rsidRPr="00C05E79">
        <w:rPr>
          <w:rFonts w:cs="Calibri"/>
          <w:color w:val="000000"/>
        </w:rPr>
        <w:t xml:space="preserve">  </w:t>
      </w:r>
      <w:r w:rsidR="007A70E3" w:rsidRPr="00C64F50">
        <w:rPr>
          <w:rFonts w:cs="Calibri"/>
          <w:color w:val="000000"/>
        </w:rPr>
        <w:t>Table</w:t>
      </w:r>
      <w:r w:rsidR="00775021" w:rsidRPr="00C64F50">
        <w:rPr>
          <w:rFonts w:cs="Calibri"/>
          <w:color w:val="000000"/>
        </w:rPr>
        <w:t>s D, E and F</w:t>
      </w:r>
      <w:r w:rsidR="00775021">
        <w:rPr>
          <w:rFonts w:cs="Calibri"/>
          <w:color w:val="000000"/>
        </w:rPr>
        <w:t xml:space="preserve"> of</w:t>
      </w:r>
      <w:r w:rsidR="003D46C2" w:rsidRPr="00C05E79">
        <w:rPr>
          <w:rFonts w:cs="Calibri"/>
          <w:color w:val="000000"/>
        </w:rPr>
        <w:t xml:space="preserve"> the subsequent charts reflect new 811 units on line for the respective fiscal year.</w:t>
      </w:r>
    </w:p>
    <w:p w:rsidR="00775021" w:rsidRDefault="00775021" w:rsidP="00ED5E32">
      <w:pPr>
        <w:rPr>
          <w:rFonts w:cs="Calibri"/>
          <w:color w:val="000000"/>
          <w:highlight w:val="yellow"/>
        </w:rPr>
      </w:pPr>
    </w:p>
    <w:p w:rsidR="003D46C2" w:rsidRPr="004065A2" w:rsidRDefault="003D46C2" w:rsidP="00ED5E32">
      <w:pPr>
        <w:rPr>
          <w:rFonts w:cs="Calibri"/>
          <w:b/>
          <w:color w:val="000000"/>
        </w:rPr>
      </w:pPr>
      <w:r w:rsidRPr="00C64F50">
        <w:rPr>
          <w:rFonts w:cs="Calibri"/>
          <w:b/>
          <w:color w:val="000000"/>
        </w:rPr>
        <w:t xml:space="preserve">Table </w:t>
      </w:r>
      <w:r w:rsidR="00775021" w:rsidRPr="00C64F50">
        <w:rPr>
          <w:rFonts w:cs="Calibri"/>
          <w:b/>
          <w:color w:val="000000"/>
        </w:rPr>
        <w:t>D</w:t>
      </w:r>
    </w:p>
    <w:tbl>
      <w:tblPr>
        <w:tblW w:w="0" w:type="auto"/>
        <w:tblBorders>
          <w:top w:val="nil"/>
          <w:left w:val="nil"/>
          <w:bottom w:val="nil"/>
          <w:right w:val="nil"/>
        </w:tblBorders>
        <w:tblLayout w:type="fixed"/>
        <w:tblLook w:val="0000" w:firstRow="0" w:lastRow="0" w:firstColumn="0" w:lastColumn="0" w:noHBand="0" w:noVBand="0"/>
      </w:tblPr>
      <w:tblGrid>
        <w:gridCol w:w="2312"/>
        <w:gridCol w:w="2312"/>
      </w:tblGrid>
      <w:tr w:rsidR="000E434B" w:rsidRPr="00BC2917" w:rsidTr="00775021">
        <w:trPr>
          <w:trHeight w:val="110"/>
          <w:tblHeader/>
        </w:trPr>
        <w:tc>
          <w:tcPr>
            <w:tcW w:w="231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Year </w:t>
            </w:r>
          </w:p>
        </w:tc>
        <w:tc>
          <w:tcPr>
            <w:tcW w:w="231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811 Units </w:t>
            </w:r>
          </w:p>
        </w:tc>
      </w:tr>
      <w:tr w:rsidR="000E434B" w:rsidRPr="00BC2917" w:rsidTr="003D46C2">
        <w:trPr>
          <w:trHeight w:val="110"/>
        </w:trPr>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FY2015: </w:t>
            </w:r>
          </w:p>
        </w:tc>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18 </w:t>
            </w:r>
          </w:p>
        </w:tc>
      </w:tr>
      <w:tr w:rsidR="000E434B" w:rsidRPr="00BC2917" w:rsidTr="003D46C2">
        <w:trPr>
          <w:trHeight w:val="110"/>
        </w:trPr>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FY2016: </w:t>
            </w:r>
          </w:p>
        </w:tc>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20 </w:t>
            </w:r>
          </w:p>
        </w:tc>
      </w:tr>
      <w:tr w:rsidR="000E434B" w:rsidRPr="00BC2917" w:rsidTr="003D46C2">
        <w:trPr>
          <w:trHeight w:val="110"/>
        </w:trPr>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FY2017: </w:t>
            </w:r>
          </w:p>
        </w:tc>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73 </w:t>
            </w:r>
          </w:p>
        </w:tc>
      </w:tr>
      <w:tr w:rsidR="000E434B" w:rsidRPr="00BC2917" w:rsidTr="003D46C2">
        <w:trPr>
          <w:trHeight w:val="110"/>
        </w:trPr>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FY2018: </w:t>
            </w:r>
          </w:p>
        </w:tc>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49* </w:t>
            </w:r>
          </w:p>
        </w:tc>
      </w:tr>
      <w:tr w:rsidR="000E434B" w:rsidRPr="00BC2917" w:rsidTr="003D46C2">
        <w:trPr>
          <w:trHeight w:val="244"/>
        </w:trPr>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i/>
                <w:iCs/>
                <w:color w:val="000000"/>
              </w:rPr>
              <w:t xml:space="preserve">Average unit production per year, FY2015-FY2017 </w:t>
            </w:r>
          </w:p>
        </w:tc>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i/>
                <w:iCs/>
                <w:color w:val="000000"/>
              </w:rPr>
              <w:t xml:space="preserve">37 </w:t>
            </w:r>
          </w:p>
        </w:tc>
      </w:tr>
      <w:tr w:rsidR="000E434B" w:rsidRPr="00BC2917" w:rsidTr="003D46C2">
        <w:trPr>
          <w:trHeight w:val="110"/>
        </w:trPr>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TOTAL 811 UNITS </w:t>
            </w:r>
          </w:p>
        </w:tc>
        <w:tc>
          <w:tcPr>
            <w:tcW w:w="2312" w:type="dxa"/>
            <w:tcBorders>
              <w:top w:val="single" w:sz="4" w:space="0" w:color="auto"/>
              <w:left w:val="single" w:sz="4" w:space="0" w:color="auto"/>
              <w:bottom w:val="single" w:sz="4" w:space="0" w:color="auto"/>
              <w:right w:val="single" w:sz="4" w:space="0" w:color="auto"/>
            </w:tcBorders>
          </w:tcPr>
          <w:p w:rsidR="000E434B" w:rsidRPr="00BC2917" w:rsidRDefault="000E434B" w:rsidP="003D46C2">
            <w:pPr>
              <w:autoSpaceDE w:val="0"/>
              <w:autoSpaceDN w:val="0"/>
              <w:adjustRightInd w:val="0"/>
              <w:spacing w:after="0" w:line="240" w:lineRule="auto"/>
              <w:rPr>
                <w:rFonts w:cs="Calibri"/>
                <w:color w:val="000000"/>
              </w:rPr>
            </w:pPr>
            <w:r w:rsidRPr="00BC2917">
              <w:rPr>
                <w:rFonts w:cs="Calibri"/>
                <w:color w:val="000000"/>
              </w:rPr>
              <w:t xml:space="preserve">160 </w:t>
            </w:r>
          </w:p>
        </w:tc>
      </w:tr>
    </w:tbl>
    <w:p w:rsidR="000E434B" w:rsidRDefault="000E434B" w:rsidP="000E434B">
      <w:r w:rsidRPr="00360553">
        <w:t>*Additional units added after LIHTC round awards for CY2018. Additional units may be added to FY2018 through June 30, 2018, including the 2018 LIHTC round awards.</w:t>
      </w:r>
    </w:p>
    <w:p w:rsidR="005323AF" w:rsidRDefault="005323AF" w:rsidP="00775021"/>
    <w:p w:rsidR="005323AF" w:rsidRDefault="005323AF" w:rsidP="00775021">
      <w:pPr>
        <w:rPr>
          <w:b/>
        </w:rPr>
      </w:pPr>
    </w:p>
    <w:p w:rsidR="005323AF" w:rsidRDefault="005323AF" w:rsidP="00775021">
      <w:pPr>
        <w:rPr>
          <w:b/>
        </w:rPr>
      </w:pPr>
    </w:p>
    <w:p w:rsidR="00142074" w:rsidRPr="00C64F50" w:rsidRDefault="00775021" w:rsidP="00775021">
      <w:pPr>
        <w:rPr>
          <w:b/>
          <w:sz w:val="16"/>
          <w:szCs w:val="16"/>
        </w:rPr>
      </w:pPr>
      <w:r w:rsidRPr="007B05D9">
        <w:rPr>
          <w:b/>
        </w:rPr>
        <w:t>Table E</w:t>
      </w:r>
    </w:p>
    <w:p w:rsidR="00142074" w:rsidRDefault="003D46C2" w:rsidP="00347F62">
      <w:pPr>
        <w:pStyle w:val="Default"/>
        <w:rPr>
          <w:rFonts w:asciiTheme="minorHAnsi" w:hAnsiTheme="minorHAnsi"/>
          <w:sz w:val="16"/>
          <w:szCs w:val="16"/>
        </w:rPr>
      </w:pPr>
      <w:r w:rsidRPr="00360553">
        <w:rPr>
          <w:noProof/>
        </w:rPr>
        <w:drawing>
          <wp:inline distT="0" distB="0" distL="0" distR="0" wp14:anchorId="6D0CB5F8" wp14:editId="1BADE0A9">
            <wp:extent cx="414337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2247900"/>
                    </a:xfrm>
                    <a:prstGeom prst="rect">
                      <a:avLst/>
                    </a:prstGeom>
                    <a:noFill/>
                    <a:ln>
                      <a:noFill/>
                    </a:ln>
                  </pic:spPr>
                </pic:pic>
              </a:graphicData>
            </a:graphic>
          </wp:inline>
        </w:drawing>
      </w:r>
    </w:p>
    <w:p w:rsidR="000E434B" w:rsidRDefault="000E434B" w:rsidP="00347F62">
      <w:pPr>
        <w:pStyle w:val="Default"/>
        <w:rPr>
          <w:rFonts w:asciiTheme="minorHAnsi" w:hAnsiTheme="minorHAnsi"/>
          <w:sz w:val="16"/>
          <w:szCs w:val="16"/>
        </w:rPr>
      </w:pPr>
    </w:p>
    <w:p w:rsidR="000E434B" w:rsidRDefault="000E434B" w:rsidP="00347F62">
      <w:pPr>
        <w:pStyle w:val="Default"/>
        <w:rPr>
          <w:rFonts w:asciiTheme="minorHAnsi" w:hAnsiTheme="minorHAnsi"/>
          <w:sz w:val="16"/>
          <w:szCs w:val="16"/>
        </w:rPr>
      </w:pPr>
    </w:p>
    <w:p w:rsidR="00F57A02" w:rsidRDefault="00F57A02" w:rsidP="00347F62">
      <w:pPr>
        <w:pStyle w:val="Default"/>
        <w:rPr>
          <w:rFonts w:asciiTheme="minorHAnsi" w:hAnsiTheme="minorHAnsi"/>
          <w:sz w:val="22"/>
          <w:szCs w:val="22"/>
          <w:highlight w:val="yellow"/>
        </w:rPr>
      </w:pPr>
    </w:p>
    <w:p w:rsidR="003D46C2" w:rsidRPr="005323AF" w:rsidRDefault="00F57A02" w:rsidP="00347F62">
      <w:pPr>
        <w:pStyle w:val="Default"/>
        <w:rPr>
          <w:rFonts w:asciiTheme="minorHAnsi" w:hAnsiTheme="minorHAnsi"/>
          <w:b/>
          <w:sz w:val="22"/>
          <w:szCs w:val="22"/>
        </w:rPr>
      </w:pPr>
      <w:r w:rsidRPr="005323AF">
        <w:rPr>
          <w:rFonts w:asciiTheme="minorHAnsi" w:hAnsiTheme="minorHAnsi"/>
          <w:b/>
          <w:sz w:val="22"/>
          <w:szCs w:val="22"/>
        </w:rPr>
        <w:t>Table F</w:t>
      </w:r>
    </w:p>
    <w:p w:rsidR="003D46C2" w:rsidRDefault="003D46C2" w:rsidP="00347F62">
      <w:pPr>
        <w:pStyle w:val="Default"/>
        <w:rPr>
          <w:rFonts w:asciiTheme="minorHAnsi" w:hAnsiTheme="minorHAnsi"/>
          <w:sz w:val="16"/>
          <w:szCs w:val="16"/>
        </w:rPr>
      </w:pPr>
    </w:p>
    <w:p w:rsidR="003D46C2" w:rsidRDefault="003D46C2" w:rsidP="00347F62">
      <w:pPr>
        <w:pStyle w:val="Default"/>
        <w:rPr>
          <w:rFonts w:asciiTheme="minorHAnsi" w:hAnsiTheme="minorHAnsi"/>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745"/>
        <w:gridCol w:w="1745"/>
        <w:gridCol w:w="1745"/>
        <w:gridCol w:w="1745"/>
        <w:gridCol w:w="1745"/>
        <w:gridCol w:w="1745"/>
      </w:tblGrid>
      <w:tr w:rsidR="003D46C2" w:rsidRPr="00360553" w:rsidTr="00804B26">
        <w:trPr>
          <w:trHeight w:val="110"/>
        </w:trPr>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Calendar Year </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811 Units Filled </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Williams </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Colbert </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D46C2" w:rsidRPr="00BC2917" w:rsidRDefault="003D46C2" w:rsidP="003D46C2">
            <w:pPr>
              <w:autoSpaceDE w:val="0"/>
              <w:autoSpaceDN w:val="0"/>
              <w:adjustRightInd w:val="0"/>
              <w:spacing w:after="0" w:line="240" w:lineRule="auto"/>
              <w:rPr>
                <w:rFonts w:cs="Calibri"/>
                <w:color w:val="000000"/>
              </w:rPr>
            </w:pPr>
            <w:proofErr w:type="spellStart"/>
            <w:r w:rsidRPr="00BC2917">
              <w:rPr>
                <w:rFonts w:cs="Calibri"/>
                <w:color w:val="000000"/>
              </w:rPr>
              <w:t>Ligas</w:t>
            </w:r>
            <w:proofErr w:type="spellEnd"/>
            <w:r w:rsidRPr="00BC2917">
              <w:rPr>
                <w:rFonts w:cs="Calibri"/>
                <w:color w:val="000000"/>
              </w:rPr>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Other**</w:t>
            </w:r>
          </w:p>
        </w:tc>
      </w:tr>
      <w:tr w:rsidR="003D46C2" w:rsidRPr="00360553" w:rsidTr="003D46C2">
        <w:trPr>
          <w:trHeight w:val="110"/>
        </w:trPr>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2015*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1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1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0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0 </w:t>
            </w:r>
          </w:p>
        </w:tc>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0</w:t>
            </w:r>
          </w:p>
        </w:tc>
      </w:tr>
      <w:tr w:rsidR="003D46C2" w:rsidRPr="00360553" w:rsidTr="003D46C2">
        <w:trPr>
          <w:trHeight w:val="110"/>
        </w:trPr>
        <w:tc>
          <w:tcPr>
            <w:tcW w:w="1745" w:type="dxa"/>
            <w:tcBorders>
              <w:top w:val="single" w:sz="4" w:space="0" w:color="auto"/>
              <w:left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2016 </w:t>
            </w:r>
          </w:p>
        </w:tc>
        <w:tc>
          <w:tcPr>
            <w:tcW w:w="1745" w:type="dxa"/>
            <w:tcBorders>
              <w:top w:val="single" w:sz="4" w:space="0" w:color="auto"/>
              <w:left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Pr>
                <w:rFonts w:cs="Calibri"/>
                <w:color w:val="000000"/>
              </w:rPr>
              <w:t>5</w:t>
            </w:r>
            <w:r w:rsidRPr="00BC2917">
              <w:rPr>
                <w:rFonts w:cs="Calibri"/>
                <w:color w:val="000000"/>
              </w:rPr>
              <w:t xml:space="preserve"> </w:t>
            </w:r>
          </w:p>
        </w:tc>
        <w:tc>
          <w:tcPr>
            <w:tcW w:w="1745" w:type="dxa"/>
            <w:tcBorders>
              <w:top w:val="single" w:sz="4" w:space="0" w:color="auto"/>
              <w:left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1 </w:t>
            </w:r>
          </w:p>
        </w:tc>
        <w:tc>
          <w:tcPr>
            <w:tcW w:w="1745" w:type="dxa"/>
            <w:tcBorders>
              <w:top w:val="single" w:sz="4" w:space="0" w:color="auto"/>
              <w:left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2 </w:t>
            </w:r>
          </w:p>
        </w:tc>
        <w:tc>
          <w:tcPr>
            <w:tcW w:w="1745" w:type="dxa"/>
            <w:tcBorders>
              <w:top w:val="single" w:sz="4" w:space="0" w:color="auto"/>
              <w:left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1 </w:t>
            </w:r>
          </w:p>
        </w:tc>
        <w:tc>
          <w:tcPr>
            <w:tcW w:w="1745" w:type="dxa"/>
            <w:tcBorders>
              <w:top w:val="single" w:sz="4" w:space="0" w:color="auto"/>
              <w:left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1</w:t>
            </w:r>
          </w:p>
        </w:tc>
      </w:tr>
      <w:tr w:rsidR="003D46C2" w:rsidRPr="00360553" w:rsidTr="003D46C2">
        <w:trPr>
          <w:trHeight w:val="110"/>
        </w:trPr>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2017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360553">
              <w:rPr>
                <w:rFonts w:cs="Calibri"/>
                <w:color w:val="000000"/>
              </w:rPr>
              <w:t>21</w:t>
            </w:r>
            <w:r w:rsidRPr="00BC2917">
              <w:rPr>
                <w:rFonts w:cs="Calibri"/>
                <w:color w:val="000000"/>
              </w:rPr>
              <w:t xml:space="preserve">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360553">
              <w:rPr>
                <w:rFonts w:cs="Calibri"/>
                <w:color w:val="000000"/>
              </w:rPr>
              <w:t>5</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11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4 </w:t>
            </w:r>
          </w:p>
        </w:tc>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1</w:t>
            </w:r>
          </w:p>
        </w:tc>
      </w:tr>
      <w:tr w:rsidR="003D46C2" w:rsidRPr="00360553" w:rsidTr="003D46C2">
        <w:trPr>
          <w:trHeight w:val="244"/>
        </w:trPr>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2018**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Pr>
                <w:rFonts w:cs="Calibri"/>
                <w:color w:val="000000"/>
              </w:rPr>
              <w:t>27</w:t>
            </w:r>
            <w:r w:rsidRPr="00BC2917">
              <w:rPr>
                <w:rFonts w:cs="Calibri"/>
                <w:color w:val="000000"/>
              </w:rPr>
              <w:t xml:space="preserve"> + 20 Cluster Model Conversions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Pr>
                <w:rFonts w:cs="Calibri"/>
                <w:color w:val="000000"/>
              </w:rPr>
              <w:t xml:space="preserve">20 </w:t>
            </w:r>
            <w:r w:rsidRPr="00BC2917">
              <w:rPr>
                <w:rFonts w:cs="Calibri"/>
                <w:color w:val="000000"/>
              </w:rPr>
              <w:t xml:space="preserve">+ 20 Cluster Model Conversions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Pr>
                <w:rFonts w:cs="Calibri"/>
                <w:color w:val="000000"/>
              </w:rPr>
              <w:t>6</w:t>
            </w:r>
            <w:r w:rsidRPr="00BC2917">
              <w:rPr>
                <w:rFonts w:cs="Calibri"/>
                <w:color w:val="000000"/>
              </w:rPr>
              <w:t xml:space="preserve"> </w:t>
            </w:r>
          </w:p>
        </w:tc>
        <w:tc>
          <w:tcPr>
            <w:tcW w:w="1745" w:type="dxa"/>
            <w:tcBorders>
              <w:top w:val="single" w:sz="4" w:space="0" w:color="auto"/>
              <w:left w:val="single" w:sz="4" w:space="0" w:color="auto"/>
              <w:bottom w:val="single" w:sz="4" w:space="0" w:color="auto"/>
              <w:right w:val="single" w:sz="4" w:space="0" w:color="auto"/>
            </w:tcBorders>
          </w:tcPr>
          <w:p w:rsidR="003D46C2" w:rsidRPr="00BC2917" w:rsidRDefault="003D46C2" w:rsidP="003D46C2">
            <w:pPr>
              <w:autoSpaceDE w:val="0"/>
              <w:autoSpaceDN w:val="0"/>
              <w:adjustRightInd w:val="0"/>
              <w:spacing w:after="0" w:line="240" w:lineRule="auto"/>
              <w:rPr>
                <w:rFonts w:cs="Calibri"/>
                <w:color w:val="000000"/>
              </w:rPr>
            </w:pPr>
            <w:r w:rsidRPr="00BC2917">
              <w:rPr>
                <w:rFonts w:cs="Calibri"/>
                <w:color w:val="000000"/>
              </w:rPr>
              <w:t xml:space="preserve">0 </w:t>
            </w:r>
          </w:p>
        </w:tc>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1</w:t>
            </w:r>
          </w:p>
        </w:tc>
      </w:tr>
      <w:tr w:rsidR="003D46C2" w:rsidRPr="00360553" w:rsidTr="003D46C2">
        <w:trPr>
          <w:trHeight w:val="244"/>
        </w:trPr>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Total</w:t>
            </w:r>
          </w:p>
        </w:tc>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Pr>
                <w:rFonts w:cs="Calibri"/>
                <w:color w:val="000000"/>
              </w:rPr>
              <w:t xml:space="preserve">54 + 20 Cluster Model </w:t>
            </w:r>
            <w:r w:rsidRPr="00360553">
              <w:rPr>
                <w:rFonts w:cs="Calibri"/>
                <w:color w:val="000000"/>
              </w:rPr>
              <w:t>Conversions</w:t>
            </w:r>
          </w:p>
        </w:tc>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2</w:t>
            </w:r>
            <w:r>
              <w:rPr>
                <w:rFonts w:cs="Calibri"/>
                <w:color w:val="000000"/>
              </w:rPr>
              <w:t>7</w:t>
            </w:r>
            <w:r w:rsidRPr="00360553">
              <w:rPr>
                <w:rFonts w:cs="Calibri"/>
                <w:color w:val="000000"/>
              </w:rPr>
              <w:t xml:space="preserve"> + 20 Cluster Model Conversions</w:t>
            </w:r>
          </w:p>
        </w:tc>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Pr>
                <w:rFonts w:cs="Calibri"/>
                <w:color w:val="000000"/>
              </w:rPr>
              <w:t>19</w:t>
            </w:r>
          </w:p>
        </w:tc>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5</w:t>
            </w:r>
          </w:p>
        </w:tc>
        <w:tc>
          <w:tcPr>
            <w:tcW w:w="1745" w:type="dxa"/>
            <w:tcBorders>
              <w:top w:val="single" w:sz="4" w:space="0" w:color="auto"/>
              <w:left w:val="single" w:sz="4" w:space="0" w:color="auto"/>
              <w:bottom w:val="single" w:sz="4" w:space="0" w:color="auto"/>
              <w:right w:val="single" w:sz="4" w:space="0" w:color="auto"/>
            </w:tcBorders>
          </w:tcPr>
          <w:p w:rsidR="003D46C2" w:rsidRPr="00360553" w:rsidRDefault="003D46C2" w:rsidP="003D46C2">
            <w:pPr>
              <w:autoSpaceDE w:val="0"/>
              <w:autoSpaceDN w:val="0"/>
              <w:adjustRightInd w:val="0"/>
              <w:spacing w:after="0" w:line="240" w:lineRule="auto"/>
              <w:rPr>
                <w:rFonts w:cs="Calibri"/>
                <w:color w:val="000000"/>
              </w:rPr>
            </w:pPr>
            <w:r w:rsidRPr="00360553">
              <w:rPr>
                <w:rFonts w:cs="Calibri"/>
                <w:color w:val="000000"/>
              </w:rPr>
              <w:t>3</w:t>
            </w:r>
          </w:p>
        </w:tc>
      </w:tr>
    </w:tbl>
    <w:p w:rsidR="003D46C2" w:rsidRPr="00360553" w:rsidRDefault="003D46C2" w:rsidP="003D46C2">
      <w:r w:rsidRPr="00360553">
        <w:t xml:space="preserve">*June 1, 2015 SRN Waiting List Was Placed </w:t>
      </w:r>
      <w:r w:rsidR="00BA72CE" w:rsidRPr="00360553">
        <w:t>in</w:t>
      </w:r>
      <w:r w:rsidR="00B268E6">
        <w:t xml:space="preserve"> </w:t>
      </w:r>
      <w:r w:rsidRPr="00360553">
        <w:t>to Service **January 1-June 30, 2018 **Moving out of nursing facility</w:t>
      </w:r>
    </w:p>
    <w:p w:rsidR="00996FC2" w:rsidRDefault="00996FC2" w:rsidP="00347F62">
      <w:pPr>
        <w:pStyle w:val="Default"/>
        <w:rPr>
          <w:rFonts w:asciiTheme="minorHAnsi" w:hAnsiTheme="minorHAnsi"/>
          <w:sz w:val="16"/>
          <w:szCs w:val="16"/>
        </w:rPr>
      </w:pPr>
    </w:p>
    <w:p w:rsidR="00996FC2" w:rsidRDefault="00996FC2" w:rsidP="00347F62">
      <w:pPr>
        <w:pStyle w:val="Default"/>
        <w:rPr>
          <w:rFonts w:asciiTheme="minorHAnsi" w:hAnsiTheme="minorHAnsi"/>
          <w:sz w:val="16"/>
          <w:szCs w:val="16"/>
        </w:rPr>
      </w:pP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Ensure availability of services, supports, and other resources of sufficient quality, scope and variety to meet obligations under the Decree and IP</w:t>
      </w:r>
    </w:p>
    <w:p w:rsidR="00F57A02" w:rsidRPr="00DC7ED5" w:rsidRDefault="00344C13"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C05E79">
        <w:t xml:space="preserve">The </w:t>
      </w:r>
      <w:r w:rsidR="007E7834" w:rsidRPr="00C05E79">
        <w:t xml:space="preserve">State of Illinois </w:t>
      </w:r>
      <w:r w:rsidR="00F50782" w:rsidRPr="00C05E79">
        <w:t>h</w:t>
      </w:r>
      <w:r w:rsidR="007E7834" w:rsidRPr="00C05E79">
        <w:t xml:space="preserve">as </w:t>
      </w:r>
      <w:r w:rsidR="004A3A05">
        <w:t xml:space="preserve">a </w:t>
      </w:r>
      <w:r w:rsidR="001404B3" w:rsidRPr="00C05E79">
        <w:t>GOMB appropriated,</w:t>
      </w:r>
      <w:r w:rsidR="007E7834" w:rsidRPr="00C05E79">
        <w:t xml:space="preserve"> </w:t>
      </w:r>
      <w:r w:rsidRPr="00C05E79">
        <w:t xml:space="preserve">annualized FY18 budget of $38.7 million dollars </w:t>
      </w:r>
      <w:r w:rsidR="001404B3" w:rsidRPr="00C05E79">
        <w:t xml:space="preserve">allocated </w:t>
      </w:r>
      <w:r w:rsidR="007E7834" w:rsidRPr="00C05E79">
        <w:t xml:space="preserve">to </w:t>
      </w:r>
      <w:r w:rsidR="001404B3" w:rsidRPr="00C05E79">
        <w:t>services and supports to implement t</w:t>
      </w:r>
      <w:r w:rsidR="007E7834" w:rsidRPr="00C05E79">
        <w:t>he Williams Consent Decree</w:t>
      </w:r>
      <w:r w:rsidR="00996FC2">
        <w:t xml:space="preserve">. </w:t>
      </w:r>
      <w:r w:rsidR="00610650" w:rsidRPr="00C05E79">
        <w:t xml:space="preserve">The below budget spending plan </w:t>
      </w:r>
      <w:r w:rsidR="00E60FCA" w:rsidRPr="00C64F50">
        <w:t>(Table</w:t>
      </w:r>
      <w:r w:rsidR="00F57A02" w:rsidRPr="00C64F50">
        <w:t xml:space="preserve"> G</w:t>
      </w:r>
      <w:r w:rsidR="00E60FCA" w:rsidRPr="00C64F50">
        <w:t>)</w:t>
      </w:r>
      <w:r w:rsidR="00E60FCA" w:rsidRPr="00C05E79">
        <w:t xml:space="preserve"> </w:t>
      </w:r>
      <w:r w:rsidR="00610650" w:rsidRPr="00C05E79">
        <w:t>identifies budgeted amounts for key services and supports to facili</w:t>
      </w:r>
      <w:r w:rsidR="004A3A05">
        <w:t>tate</w:t>
      </w:r>
      <w:r w:rsidR="00610650" w:rsidRPr="00C05E79">
        <w:t xml:space="preserve"> community service start up, i.e., ACT and CST</w:t>
      </w:r>
      <w:r w:rsidR="004A3A05">
        <w:t>,</w:t>
      </w:r>
      <w:r w:rsidR="00610650" w:rsidRPr="00C05E79">
        <w:t xml:space="preserve"> and to sustain ongoing non-Medicaid operations, i.e., Drop-In Centers</w:t>
      </w:r>
      <w:r w:rsidR="00BF3B45" w:rsidRPr="00C05E79">
        <w:t xml:space="preserve">, Quality Administration, Transition Coordination, the Housing Locator website and support (IGA through Illinois Housing Development Authority), etc.   As of this writing, 85% of the FY18 budget has been expended.   The final account of all FY18 Williams Consent Decree budget expenditures will be posted at </w:t>
      </w:r>
      <w:r w:rsidR="004A3A05">
        <w:t xml:space="preserve">the </w:t>
      </w:r>
      <w:r w:rsidR="00BF3B45" w:rsidRPr="00C05E79">
        <w:t>close-</w:t>
      </w:r>
      <w:r w:rsidR="009475B8" w:rsidRPr="00C05E79">
        <w:t>out</w:t>
      </w:r>
      <w:r w:rsidR="004A3A05">
        <w:t xml:space="preserve"> of the fiscal year</w:t>
      </w:r>
      <w:r w:rsidR="009475B8" w:rsidRPr="00DC7ED5">
        <w:t>.</w:t>
      </w:r>
      <w:r w:rsidR="00DC7ED5" w:rsidRPr="00DC7ED5">
        <w:t xml:space="preserve">   </w:t>
      </w:r>
      <w:r w:rsidR="00FD0B94">
        <w:t>At the beginning of each fiscal year GOMB, IDHS/Budget, and IDHS/DMH work to identify the needed funding to ensure success of the Williams Consent Decree.  These funds are allocated amongst Williams specific programs and providers to ensure th</w:t>
      </w:r>
      <w:r w:rsidR="00F85E3D">
        <w:t>at</w:t>
      </w:r>
      <w:r w:rsidR="00FD0B94">
        <w:t xml:space="preserve"> proper services are available to all Williams individuals.  Throughout the fiscal year, IDHS/DMH </w:t>
      </w:r>
      <w:proofErr w:type="gramStart"/>
      <w:r w:rsidR="00FD0B94">
        <w:t>ha</w:t>
      </w:r>
      <w:r w:rsidR="00880048">
        <w:t>s</w:t>
      </w:r>
      <w:r w:rsidR="00FD0B94">
        <w:t xml:space="preserve"> the ability to</w:t>
      </w:r>
      <w:proofErr w:type="gramEnd"/>
      <w:r w:rsidR="00FD0B94">
        <w:t xml:space="preserve"> reallocate funds via formal contract amendments to align money with actual spending.  This is important </w:t>
      </w:r>
      <w:r w:rsidR="00880048">
        <w:t xml:space="preserve">as </w:t>
      </w:r>
      <w:r w:rsidR="00A700AB">
        <w:t xml:space="preserve">location of desired housing and housing availability cannot be predicted, </w:t>
      </w:r>
      <w:r w:rsidR="00FD0B94">
        <w:t xml:space="preserve">which in turn affects costs.  This also permits flexibility in funding services and/or supports based on an individual’s need.  </w:t>
      </w:r>
      <w:r w:rsidR="00A204B8">
        <w:t>Table</w:t>
      </w:r>
      <w:r w:rsidR="00BB36D5">
        <w:t>s</w:t>
      </w:r>
      <w:r w:rsidR="00A204B8">
        <w:t xml:space="preserve"> G, </w:t>
      </w:r>
      <w:proofErr w:type="gramStart"/>
      <w:r w:rsidR="00A204B8">
        <w:t>G(</w:t>
      </w:r>
      <w:proofErr w:type="gramEnd"/>
      <w:r w:rsidR="00A204B8">
        <w:t xml:space="preserve">1) and G(2) reflect the current fiscal report </w:t>
      </w:r>
      <w:r w:rsidR="00BB36D5">
        <w:t>for</w:t>
      </w:r>
      <w:r w:rsidR="00A204B8">
        <w:t xml:space="preserve"> FY18.</w:t>
      </w:r>
      <w:r w:rsidR="00DC7ED5">
        <w:rPr>
          <w:rFonts w:eastAsia="Times New Roman" w:cs="Arial"/>
          <w:color w:val="000000"/>
        </w:rPr>
        <w:t xml:space="preserve"> </w:t>
      </w:r>
      <w:r w:rsidR="00DC7ED5" w:rsidRPr="00DC7ED5">
        <w:rPr>
          <w:rFonts w:eastAsia="Times New Roman" w:cs="Arial"/>
          <w:color w:val="000000"/>
        </w:rPr>
        <w:t xml:space="preserve">  FY18 close-out will not occur until after </w:t>
      </w:r>
      <w:r w:rsidR="00DC7ED5">
        <w:rPr>
          <w:rFonts w:eastAsia="Times New Roman" w:cs="Arial"/>
          <w:color w:val="000000"/>
        </w:rPr>
        <w:t xml:space="preserve">the </w:t>
      </w:r>
      <w:r w:rsidR="00DC7ED5" w:rsidRPr="00DC7ED5">
        <w:rPr>
          <w:rFonts w:eastAsia="Times New Roman" w:cs="Arial"/>
          <w:color w:val="000000"/>
        </w:rPr>
        <w:t xml:space="preserve">submission date </w:t>
      </w:r>
      <w:r w:rsidR="00DC7ED5">
        <w:rPr>
          <w:rFonts w:eastAsia="Times New Roman" w:cs="Arial"/>
          <w:color w:val="000000"/>
        </w:rPr>
        <w:t>for</w:t>
      </w:r>
      <w:r w:rsidR="00DC7ED5" w:rsidRPr="00DC7ED5">
        <w:rPr>
          <w:rFonts w:eastAsia="Times New Roman" w:cs="Arial"/>
          <w:color w:val="000000"/>
        </w:rPr>
        <w:t xml:space="preserve"> this report</w:t>
      </w:r>
      <w:r w:rsidR="00BB36D5">
        <w:rPr>
          <w:rFonts w:eastAsia="Times New Roman" w:cs="Arial"/>
          <w:color w:val="000000"/>
        </w:rPr>
        <w:t>, therefore final FY18 figures are not currently available</w:t>
      </w:r>
      <w:r w:rsidR="00DC7ED5" w:rsidRPr="00DC7ED5">
        <w:rPr>
          <w:rFonts w:eastAsia="Times New Roman" w:cs="Arial"/>
          <w:color w:val="000000"/>
        </w:rPr>
        <w:t xml:space="preserve">.  </w:t>
      </w:r>
    </w:p>
    <w:p w:rsidR="0079491F" w:rsidRPr="0079491F" w:rsidRDefault="0079491F" w:rsidP="0079491F">
      <w:pPr>
        <w:spacing w:after="0" w:line="240" w:lineRule="auto"/>
        <w:jc w:val="both"/>
        <w:rPr>
          <w:rFonts w:eastAsiaTheme="minorEastAsia"/>
        </w:rPr>
      </w:pPr>
      <w:r w:rsidRPr="0079491F">
        <w:rPr>
          <w:rFonts w:eastAsiaTheme="minorEastAsia"/>
        </w:rPr>
        <w:t>In FY18 the Illinois Governor’s Revised Introduced Budget included $44.7 million in General Revenue Funds for rebalancing efforts related to the Implementation Plan.  Expenditures thru August 13, 2018 include $3.4 million for administrative and operational expenses as well as $26.7 million in grant funded services.  In addition, $7.5 million has been expended for Medicaid services to Class Members.  By the end of FY18 it is estimated that spending will total approximately $37.6 million with the balance of the GRF appropriation to be spent on Medicaid services.</w:t>
      </w:r>
    </w:p>
    <w:p w:rsidR="0079491F" w:rsidRPr="0079491F" w:rsidRDefault="0079491F" w:rsidP="0079491F">
      <w:pPr>
        <w:spacing w:after="0" w:line="240" w:lineRule="auto"/>
        <w:jc w:val="both"/>
        <w:rPr>
          <w:rFonts w:eastAsiaTheme="minorEastAsia"/>
        </w:rPr>
      </w:pPr>
    </w:p>
    <w:p w:rsidR="0079491F" w:rsidRPr="0079491F" w:rsidRDefault="0079491F" w:rsidP="0079491F">
      <w:pPr>
        <w:spacing w:after="0" w:line="240" w:lineRule="auto"/>
        <w:jc w:val="both"/>
        <w:rPr>
          <w:rFonts w:eastAsiaTheme="minorEastAsia"/>
        </w:rPr>
      </w:pPr>
      <w:r w:rsidRPr="0079491F">
        <w:rPr>
          <w:rFonts w:eastAsiaTheme="minorEastAsia"/>
        </w:rPr>
        <w:t xml:space="preserve">The Governor’s current proposed FY19 budget for the Division of Mental Health includes $44.6 million in General Revenue Funds dedicated to expanding home and community-based services, and other transitional assistance costs associated with the consent decree implementation.   </w:t>
      </w:r>
    </w:p>
    <w:p w:rsidR="0079491F" w:rsidRPr="0079491F" w:rsidRDefault="0079491F" w:rsidP="0079491F">
      <w:pPr>
        <w:rPr>
          <w:rFonts w:eastAsiaTheme="minorEastAsia"/>
        </w:rPr>
      </w:pPr>
    </w:p>
    <w:p w:rsidR="0079491F" w:rsidRDefault="0079491F" w:rsidP="00F57A02">
      <w:pPr>
        <w:tabs>
          <w:tab w:val="left" w:pos="5745"/>
        </w:tabs>
        <w:rPr>
          <w:b/>
        </w:rPr>
      </w:pPr>
    </w:p>
    <w:p w:rsidR="0079491F" w:rsidRDefault="0079491F" w:rsidP="00F57A02">
      <w:pPr>
        <w:tabs>
          <w:tab w:val="left" w:pos="5745"/>
        </w:tabs>
        <w:rPr>
          <w:b/>
        </w:rPr>
      </w:pPr>
    </w:p>
    <w:p w:rsidR="0079491F" w:rsidRDefault="0079491F" w:rsidP="00F57A02">
      <w:pPr>
        <w:tabs>
          <w:tab w:val="left" w:pos="5745"/>
        </w:tabs>
        <w:rPr>
          <w:b/>
        </w:rPr>
      </w:pPr>
    </w:p>
    <w:p w:rsidR="008A7C78" w:rsidRDefault="008A7C78" w:rsidP="00F57A02">
      <w:pPr>
        <w:tabs>
          <w:tab w:val="left" w:pos="5745"/>
        </w:tabs>
        <w:rPr>
          <w:b/>
        </w:rPr>
      </w:pPr>
    </w:p>
    <w:p w:rsidR="008A7C78" w:rsidRDefault="008A7C78" w:rsidP="00F57A02">
      <w:pPr>
        <w:tabs>
          <w:tab w:val="left" w:pos="5745"/>
        </w:tabs>
        <w:rPr>
          <w:b/>
        </w:rPr>
      </w:pPr>
    </w:p>
    <w:p w:rsidR="00F57A02" w:rsidRDefault="00F57A02" w:rsidP="00F57A02">
      <w:pPr>
        <w:tabs>
          <w:tab w:val="left" w:pos="5745"/>
        </w:tabs>
        <w:rPr>
          <w:b/>
        </w:rPr>
      </w:pPr>
      <w:r w:rsidRPr="00C64F50">
        <w:rPr>
          <w:b/>
        </w:rPr>
        <w:t>Table G</w:t>
      </w:r>
      <w:r w:rsidR="0079491F">
        <w:rPr>
          <w:b/>
        </w:rPr>
        <w:t xml:space="preserve"> </w:t>
      </w:r>
    </w:p>
    <w:p w:rsidR="0079491F" w:rsidRDefault="003D45D4" w:rsidP="00F57A02">
      <w:pPr>
        <w:tabs>
          <w:tab w:val="left" w:pos="5745"/>
        </w:tabs>
        <w:rPr>
          <w:b/>
        </w:rPr>
      </w:pPr>
      <w:r w:rsidRPr="00376A4B">
        <w:rPr>
          <w:b/>
          <w:noProof/>
        </w:rPr>
        <w:drawing>
          <wp:inline distT="0" distB="0" distL="0" distR="0" wp14:anchorId="789066B8" wp14:editId="56C18AF1">
            <wp:extent cx="8886825" cy="493321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Y18Grant1.png"/>
                    <pic:cNvPicPr/>
                  </pic:nvPicPr>
                  <pic:blipFill>
                    <a:blip r:embed="rId13"/>
                    <a:stretch>
                      <a:fillRect/>
                    </a:stretch>
                  </pic:blipFill>
                  <pic:spPr>
                    <a:xfrm>
                      <a:off x="0" y="0"/>
                      <a:ext cx="8910563" cy="4946388"/>
                    </a:xfrm>
                    <a:prstGeom prst="rect">
                      <a:avLst/>
                    </a:prstGeom>
                  </pic:spPr>
                </pic:pic>
              </a:graphicData>
            </a:graphic>
          </wp:inline>
        </w:drawing>
      </w:r>
    </w:p>
    <w:p w:rsidR="003D45D4" w:rsidRDefault="003D45D4" w:rsidP="00F57A02">
      <w:pPr>
        <w:tabs>
          <w:tab w:val="left" w:pos="5745"/>
        </w:tabs>
        <w:rPr>
          <w:b/>
        </w:rPr>
      </w:pPr>
    </w:p>
    <w:p w:rsidR="003D45D4" w:rsidRDefault="003D45D4" w:rsidP="00F57A02">
      <w:pPr>
        <w:tabs>
          <w:tab w:val="left" w:pos="5745"/>
        </w:tabs>
        <w:rPr>
          <w:b/>
        </w:rPr>
      </w:pPr>
    </w:p>
    <w:p w:rsidR="003D45D4" w:rsidRDefault="003D45D4" w:rsidP="00F57A02">
      <w:pPr>
        <w:tabs>
          <w:tab w:val="left" w:pos="5745"/>
        </w:tabs>
        <w:rPr>
          <w:b/>
        </w:rPr>
      </w:pPr>
    </w:p>
    <w:p w:rsidR="003D45D4" w:rsidRDefault="003D45D4" w:rsidP="00F57A02">
      <w:pPr>
        <w:tabs>
          <w:tab w:val="left" w:pos="5745"/>
        </w:tabs>
        <w:rPr>
          <w:b/>
        </w:rPr>
      </w:pPr>
      <w:r>
        <w:rPr>
          <w:b/>
        </w:rPr>
        <w:t xml:space="preserve">TABLE G1                                     </w:t>
      </w:r>
      <w:r>
        <w:rPr>
          <w:b/>
        </w:rPr>
        <w:tab/>
      </w:r>
      <w:r>
        <w:rPr>
          <w:b/>
        </w:rPr>
        <w:tab/>
      </w:r>
      <w:r>
        <w:rPr>
          <w:b/>
        </w:rPr>
        <w:tab/>
      </w:r>
      <w:r>
        <w:rPr>
          <w:b/>
        </w:rPr>
        <w:tab/>
      </w:r>
      <w:r>
        <w:rPr>
          <w:b/>
        </w:rPr>
        <w:tab/>
      </w:r>
      <w:r>
        <w:rPr>
          <w:b/>
        </w:rPr>
        <w:tab/>
      </w:r>
      <w:r>
        <w:rPr>
          <w:b/>
        </w:rPr>
        <w:tab/>
      </w:r>
      <w:r>
        <w:rPr>
          <w:b/>
        </w:rPr>
        <w:tab/>
        <w:t>TABLE G2</w:t>
      </w:r>
    </w:p>
    <w:p w:rsidR="003D45D4" w:rsidRDefault="003D45D4" w:rsidP="00F57A02">
      <w:pPr>
        <w:tabs>
          <w:tab w:val="left" w:pos="5745"/>
        </w:tabs>
        <w:rPr>
          <w:b/>
        </w:rPr>
      </w:pPr>
      <w:r w:rsidRPr="00376A4B">
        <w:rPr>
          <w:b/>
          <w:noProof/>
        </w:rPr>
        <w:drawing>
          <wp:anchor distT="0" distB="0" distL="114300" distR="114300" simplePos="0" relativeHeight="251660288" behindDoc="0" locked="0" layoutInCell="1" allowOverlap="1" wp14:anchorId="59FC212E" wp14:editId="3891D58D">
            <wp:simplePos x="0" y="0"/>
            <wp:positionH relativeFrom="column">
              <wp:posOffset>5591175</wp:posOffset>
            </wp:positionH>
            <wp:positionV relativeFrom="paragraph">
              <wp:posOffset>125730</wp:posOffset>
            </wp:positionV>
            <wp:extent cx="3273552" cy="3639312"/>
            <wp:effectExtent l="0" t="0" r="3175" b="0"/>
            <wp:wrapThrough wrapText="bothSides">
              <wp:wrapPolygon edited="0">
                <wp:start x="0" y="0"/>
                <wp:lineTo x="0" y="21483"/>
                <wp:lineTo x="21495" y="21483"/>
                <wp:lineTo x="2149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Y18Grant3.png"/>
                    <pic:cNvPicPr/>
                  </pic:nvPicPr>
                  <pic:blipFill>
                    <a:blip r:embed="rId14"/>
                    <a:stretch>
                      <a:fillRect/>
                    </a:stretch>
                  </pic:blipFill>
                  <pic:spPr>
                    <a:xfrm>
                      <a:off x="0" y="0"/>
                      <a:ext cx="3273552" cy="3639312"/>
                    </a:xfrm>
                    <a:prstGeom prst="rect">
                      <a:avLst/>
                    </a:prstGeom>
                  </pic:spPr>
                </pic:pic>
              </a:graphicData>
            </a:graphic>
            <wp14:sizeRelH relativeFrom="margin">
              <wp14:pctWidth>0</wp14:pctWidth>
            </wp14:sizeRelH>
            <wp14:sizeRelV relativeFrom="margin">
              <wp14:pctHeight>0</wp14:pctHeight>
            </wp14:sizeRelV>
          </wp:anchor>
        </w:drawing>
      </w:r>
    </w:p>
    <w:p w:rsidR="003D45D4" w:rsidRDefault="003D45D4" w:rsidP="00F57A02">
      <w:pPr>
        <w:tabs>
          <w:tab w:val="left" w:pos="5745"/>
        </w:tabs>
        <w:rPr>
          <w:b/>
        </w:rPr>
      </w:pPr>
      <w:r w:rsidRPr="00376A4B">
        <w:rPr>
          <w:b/>
          <w:noProof/>
        </w:rPr>
        <w:drawing>
          <wp:anchor distT="0" distB="0" distL="114300" distR="114300" simplePos="0" relativeHeight="251659264" behindDoc="0" locked="0" layoutInCell="1" allowOverlap="1" wp14:anchorId="4DBA5505" wp14:editId="005C6FA5">
            <wp:simplePos x="0" y="0"/>
            <wp:positionH relativeFrom="column">
              <wp:posOffset>0</wp:posOffset>
            </wp:positionH>
            <wp:positionV relativeFrom="paragraph">
              <wp:posOffset>2540</wp:posOffset>
            </wp:positionV>
            <wp:extent cx="5367528" cy="1490472"/>
            <wp:effectExtent l="0" t="0" r="5080" b="0"/>
            <wp:wrapThrough wrapText="bothSides">
              <wp:wrapPolygon edited="0">
                <wp:start x="0" y="0"/>
                <wp:lineTo x="0" y="21259"/>
                <wp:lineTo x="21544" y="21259"/>
                <wp:lineTo x="2154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Y18Grant2.png"/>
                    <pic:cNvPicPr/>
                  </pic:nvPicPr>
                  <pic:blipFill>
                    <a:blip r:embed="rId15"/>
                    <a:stretch>
                      <a:fillRect/>
                    </a:stretch>
                  </pic:blipFill>
                  <pic:spPr>
                    <a:xfrm>
                      <a:off x="0" y="0"/>
                      <a:ext cx="5367528" cy="1490472"/>
                    </a:xfrm>
                    <a:prstGeom prst="rect">
                      <a:avLst/>
                    </a:prstGeom>
                  </pic:spPr>
                </pic:pic>
              </a:graphicData>
            </a:graphic>
            <wp14:sizeRelH relativeFrom="margin">
              <wp14:pctWidth>0</wp14:pctWidth>
            </wp14:sizeRelH>
            <wp14:sizeRelV relativeFrom="margin">
              <wp14:pctHeight>0</wp14:pctHeight>
            </wp14:sizeRelV>
          </wp:anchor>
        </w:drawing>
      </w:r>
    </w:p>
    <w:p w:rsidR="003D45D4" w:rsidRDefault="003D45D4" w:rsidP="00F57A02">
      <w:pPr>
        <w:tabs>
          <w:tab w:val="left" w:pos="5745"/>
        </w:tabs>
        <w:rPr>
          <w:b/>
        </w:rPr>
      </w:pPr>
    </w:p>
    <w:p w:rsidR="003D45D4" w:rsidRDefault="003D45D4" w:rsidP="00F57A02">
      <w:pPr>
        <w:tabs>
          <w:tab w:val="left" w:pos="5745"/>
        </w:tabs>
        <w:rPr>
          <w:b/>
        </w:rPr>
      </w:pPr>
    </w:p>
    <w:p w:rsidR="003D45D4" w:rsidRDefault="003D45D4" w:rsidP="00F57A02">
      <w:pPr>
        <w:tabs>
          <w:tab w:val="left" w:pos="5745"/>
        </w:tabs>
        <w:rPr>
          <w:b/>
        </w:rPr>
      </w:pPr>
    </w:p>
    <w:p w:rsidR="003D45D4" w:rsidRDefault="003D45D4" w:rsidP="00F57A02">
      <w:pPr>
        <w:tabs>
          <w:tab w:val="left" w:pos="5745"/>
        </w:tabs>
        <w:rPr>
          <w:b/>
        </w:rPr>
      </w:pPr>
    </w:p>
    <w:p w:rsidR="003D45D4" w:rsidRDefault="003D45D4" w:rsidP="00F57A02">
      <w:pPr>
        <w:tabs>
          <w:tab w:val="left" w:pos="5745"/>
        </w:tabs>
        <w:rPr>
          <w:b/>
        </w:rPr>
      </w:pPr>
    </w:p>
    <w:p w:rsidR="003D45D4" w:rsidRDefault="003D45D4" w:rsidP="00F57A02">
      <w:pPr>
        <w:tabs>
          <w:tab w:val="left" w:pos="5745"/>
        </w:tabs>
        <w:rPr>
          <w:b/>
        </w:rPr>
      </w:pPr>
    </w:p>
    <w:p w:rsidR="003D45D4" w:rsidRDefault="003D45D4" w:rsidP="00F57A02">
      <w:pPr>
        <w:tabs>
          <w:tab w:val="left" w:pos="5745"/>
        </w:tabs>
        <w:rPr>
          <w:b/>
        </w:rPr>
      </w:pPr>
    </w:p>
    <w:p w:rsidR="003D45D4" w:rsidRDefault="003D45D4" w:rsidP="00F57A02">
      <w:pPr>
        <w:tabs>
          <w:tab w:val="left" w:pos="5745"/>
        </w:tabs>
        <w:rPr>
          <w:b/>
        </w:rPr>
      </w:pPr>
    </w:p>
    <w:p w:rsidR="003D45D4" w:rsidRPr="004065A2" w:rsidRDefault="003D45D4" w:rsidP="00F57A02">
      <w:pPr>
        <w:tabs>
          <w:tab w:val="left" w:pos="5745"/>
        </w:tabs>
        <w:rPr>
          <w:b/>
        </w:rPr>
      </w:pP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Implement sufficient measures, consistent with the preferences, strengths, and needs of CMs to provide community-based services.</w:t>
      </w:r>
    </w:p>
    <w:p w:rsidR="00C6740F" w:rsidRPr="00C05E79" w:rsidRDefault="00F57A02"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t>During</w:t>
      </w:r>
      <w:r w:rsidR="0073741F" w:rsidRPr="00C05E79">
        <w:t xml:space="preserve"> FY18 the state has </w:t>
      </w:r>
      <w:r w:rsidR="00DE3546" w:rsidRPr="00C05E79">
        <w:t xml:space="preserve">continued </w:t>
      </w:r>
      <w:r w:rsidR="00172561">
        <w:t xml:space="preserve">to provide </w:t>
      </w:r>
      <w:r>
        <w:t>access</w:t>
      </w:r>
      <w:r w:rsidR="00172561">
        <w:t xml:space="preserve"> to</w:t>
      </w:r>
      <w:r>
        <w:t xml:space="preserve"> an </w:t>
      </w:r>
      <w:r w:rsidR="00DE3546" w:rsidRPr="00C05E79">
        <w:t>availab</w:t>
      </w:r>
      <w:r w:rsidR="00172561">
        <w:t>le</w:t>
      </w:r>
      <w:r w:rsidR="0073741F" w:rsidRPr="00C05E79">
        <w:t xml:space="preserve"> array of existing Medicaid bill</w:t>
      </w:r>
      <w:r>
        <w:t xml:space="preserve">able and non-billable services </w:t>
      </w:r>
      <w:r w:rsidR="0073741F" w:rsidRPr="00C05E79">
        <w:t xml:space="preserve">to address </w:t>
      </w:r>
      <w:r w:rsidRPr="00C05E79">
        <w:t xml:space="preserve">the majority </w:t>
      </w:r>
      <w:r>
        <w:t xml:space="preserve">of </w:t>
      </w:r>
      <w:r w:rsidR="00F138F5" w:rsidRPr="00C05E79">
        <w:t xml:space="preserve">multi-faceted </w:t>
      </w:r>
      <w:r w:rsidR="0073741F" w:rsidRPr="00C05E79">
        <w:t xml:space="preserve">needs, preferences and strengths of Class Members who can benefit from </w:t>
      </w:r>
      <w:r w:rsidR="00172561">
        <w:t>C</w:t>
      </w:r>
      <w:r w:rsidR="0073741F" w:rsidRPr="00C05E79">
        <w:t>ommunity-</w:t>
      </w:r>
      <w:r w:rsidR="00172561">
        <w:t>B</w:t>
      </w:r>
      <w:r w:rsidR="0073741F" w:rsidRPr="00C05E79">
        <w:t xml:space="preserve">ased </w:t>
      </w:r>
      <w:r w:rsidR="00F138F5" w:rsidRPr="00C05E79">
        <w:t xml:space="preserve">outpatient </w:t>
      </w:r>
      <w:r w:rsidR="0073741F" w:rsidRPr="00C05E79">
        <w:t>services and supports, including but not limited to Assertive Community Treatment (ACT), Community Support Team (CST) services, Psycho-Social Rehabilitation Services, Drop-In Centers, Supervised Residential settings, Cluster Housing model (peer support) PSH units, case manage</w:t>
      </w:r>
      <w:r w:rsidR="00FE6B14">
        <w:t xml:space="preserve">ment, counseling and therapy. </w:t>
      </w:r>
      <w:r w:rsidR="0073741F" w:rsidRPr="00C05E79">
        <w:t xml:space="preserve">Additionally, the State has an array of State Plan services, including DRS and </w:t>
      </w:r>
      <w:proofErr w:type="spellStart"/>
      <w:r w:rsidR="00172561">
        <w:t>IDoA</w:t>
      </w:r>
      <w:proofErr w:type="spellEnd"/>
      <w:r w:rsidR="0073741F" w:rsidRPr="00C05E79">
        <w:t xml:space="preserve"> Waiver services, that </w:t>
      </w:r>
      <w:r w:rsidR="00DE3546" w:rsidRPr="00C05E79">
        <w:t>may</w:t>
      </w:r>
      <w:r>
        <w:t xml:space="preserve"> </w:t>
      </w:r>
      <w:r w:rsidR="00DE3546" w:rsidRPr="00C05E79">
        <w:t>be</w:t>
      </w:r>
      <w:r w:rsidR="0073741F" w:rsidRPr="00C05E79">
        <w:t xml:space="preserve"> available to Class Members (based on </w:t>
      </w:r>
      <w:r w:rsidR="00DE3546" w:rsidRPr="00C05E79">
        <w:t xml:space="preserve">criteria of eligibility, </w:t>
      </w:r>
      <w:r w:rsidR="0073741F" w:rsidRPr="00C05E79">
        <w:t xml:space="preserve">medical necessity and authorization).  The DHS/DMH </w:t>
      </w:r>
      <w:r w:rsidR="00172561">
        <w:t xml:space="preserve">has also added </w:t>
      </w:r>
      <w:r w:rsidR="0073741F" w:rsidRPr="00C05E79">
        <w:t xml:space="preserve">In-Home Recovery and Support Services and SOAR technical assistance to address </w:t>
      </w:r>
      <w:r w:rsidR="00DE3546" w:rsidRPr="00C05E79">
        <w:t xml:space="preserve">additional </w:t>
      </w:r>
      <w:r w:rsidR="0073741F" w:rsidRPr="00C05E79">
        <w:t>unmet access need</w:t>
      </w:r>
      <w:r w:rsidR="00DE3546" w:rsidRPr="00C05E79">
        <w:t>s</w:t>
      </w:r>
      <w:r w:rsidR="0073741F" w:rsidRPr="00C05E79">
        <w:t xml:space="preserve">. </w:t>
      </w:r>
    </w:p>
    <w:p w:rsidR="00C6740F" w:rsidRPr="00C6740F" w:rsidRDefault="00C6740F" w:rsidP="00C6740F">
      <w:pPr>
        <w:rPr>
          <w:b/>
          <w:sz w:val="24"/>
          <w:szCs w:val="24"/>
        </w:rPr>
      </w:pPr>
      <w:r w:rsidRPr="00C6740F">
        <w:rPr>
          <w:b/>
          <w:sz w:val="24"/>
          <w:szCs w:val="24"/>
        </w:rPr>
        <w:t>Outreach, Evaluation, and Service Plan Requirements</w:t>
      </w:r>
      <w:r w:rsidR="00462303">
        <w:rPr>
          <w:b/>
          <w:sz w:val="24"/>
          <w:szCs w:val="24"/>
        </w:rPr>
        <w:t xml:space="preserv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CMs have opportunity to receive complete and accurate info regarding rights to live in CB settings and/or receive CB services, and the available options and opportunities for doing so.</w:t>
      </w:r>
    </w:p>
    <w:p w:rsidR="00572410" w:rsidRDefault="005433CA" w:rsidP="00572410">
      <w:pPr>
        <w:rPr>
          <w:color w:val="548DD4" w:themeColor="text2" w:themeTint="99"/>
          <w:u w:val="single"/>
        </w:rPr>
      </w:pPr>
      <w:r w:rsidRPr="00C05E79">
        <w:t xml:space="preserve">NAMI Outreach Workers are contracted to provide comprehensive information to Class Members on the Consent Decree, their rights as Class Members, </w:t>
      </w:r>
      <w:r w:rsidR="00D01507" w:rsidRPr="00C05E79">
        <w:t>t</w:t>
      </w:r>
      <w:r w:rsidRPr="00C05E79">
        <w:t xml:space="preserve">he Resident Review processes, the array of </w:t>
      </w:r>
      <w:r w:rsidR="00D01507" w:rsidRPr="00C05E79">
        <w:t xml:space="preserve">outpatient </w:t>
      </w:r>
      <w:r w:rsidRPr="00C05E79">
        <w:t>community</w:t>
      </w:r>
      <w:r w:rsidR="00D01507" w:rsidRPr="00C05E79">
        <w:t xml:space="preserve"> services (based on medical necessity), the </w:t>
      </w:r>
      <w:r w:rsidRPr="00C05E79">
        <w:t xml:space="preserve">transition </w:t>
      </w:r>
      <w:r w:rsidR="00D01507" w:rsidRPr="00C05E79">
        <w:t xml:space="preserve">process, PSH </w:t>
      </w:r>
      <w:r w:rsidRPr="00C05E79">
        <w:t xml:space="preserve">and </w:t>
      </w:r>
      <w:r w:rsidR="00D01507" w:rsidRPr="00C05E79">
        <w:t xml:space="preserve">other </w:t>
      </w:r>
      <w:r w:rsidRPr="00C05E79">
        <w:t>service</w:t>
      </w:r>
      <w:r w:rsidR="00D01507" w:rsidRPr="00C05E79">
        <w:t>s, resources and support</w:t>
      </w:r>
      <w:r w:rsidRPr="00C05E79">
        <w:t xml:space="preserve"> options that may be available, based on the outcome of the Resident Review assessment and should the</w:t>
      </w:r>
      <w:r w:rsidR="00636CB3">
        <w:t xml:space="preserve"> Class Member</w:t>
      </w:r>
      <w:r w:rsidRPr="00C05E79">
        <w:t xml:space="preserve"> elect to transition. During this reporting period, Outreach Workers initiated engagement con</w:t>
      </w:r>
      <w:r w:rsidR="00842F4D">
        <w:t xml:space="preserve">tacts with 523 Class Members. </w:t>
      </w:r>
      <w:r w:rsidRPr="00C05E79">
        <w:t xml:space="preserve">366 Class Members (70%) elected to have private interviews with Outreach to learn more about their rights under </w:t>
      </w:r>
      <w:r w:rsidRPr="00C05E79">
        <w:rPr>
          <w:i/>
        </w:rPr>
        <w:t xml:space="preserve">Moving On, </w:t>
      </w:r>
      <w:r w:rsidRPr="00C05E79">
        <w:t xml:space="preserve">to discuss options and array of community services and supports, to view the </w:t>
      </w:r>
      <w:r w:rsidRPr="00C05E79">
        <w:rPr>
          <w:i/>
        </w:rPr>
        <w:t>Moving On</w:t>
      </w:r>
      <w:r w:rsidRPr="00C05E79">
        <w:t xml:space="preserve"> videos and receive and review the multiple brochures and </w:t>
      </w:r>
      <w:r w:rsidR="00842F4D">
        <w:t xml:space="preserve">fliers developed as hand-outs. </w:t>
      </w:r>
      <w:r w:rsidRPr="00C05E79">
        <w:t xml:space="preserve">Conversely, 157 Class Members (30%) refused to engage or </w:t>
      </w:r>
      <w:r w:rsidR="00D01507" w:rsidRPr="00C05E79">
        <w:t xml:space="preserve">entertain contact </w:t>
      </w:r>
      <w:r w:rsidRPr="00C05E79">
        <w:t xml:space="preserve">with Outreach Workers </w:t>
      </w:r>
      <w:r w:rsidR="00D01507" w:rsidRPr="00C05E79">
        <w:t>regarding</w:t>
      </w:r>
      <w:r w:rsidRPr="00C05E79">
        <w:t xml:space="preserve"> </w:t>
      </w:r>
      <w:r w:rsidRPr="00C05E79">
        <w:rPr>
          <w:i/>
        </w:rPr>
        <w:t xml:space="preserve">Moving On. </w:t>
      </w:r>
      <w:r w:rsidRPr="00C05E79">
        <w:t>Th</w:t>
      </w:r>
      <w:r w:rsidR="00D01507" w:rsidRPr="00C05E79">
        <w:t>is</w:t>
      </w:r>
      <w:r w:rsidRPr="00C05E79">
        <w:t xml:space="preserve"> refusal rate has been somewhat consistent for the past years.   Themes for refusals range from being </w:t>
      </w:r>
      <w:r w:rsidR="00636CB3">
        <w:t xml:space="preserve">expressed </w:t>
      </w:r>
      <w:r w:rsidRPr="00C05E79">
        <w:t>comfort</w:t>
      </w:r>
      <w:r w:rsidR="00636CB3">
        <w:t xml:space="preserve"> with</w:t>
      </w:r>
      <w:r w:rsidRPr="00C05E79">
        <w:t xml:space="preserve"> their surroundings</w:t>
      </w:r>
      <w:r w:rsidR="00D01507" w:rsidRPr="00C05E79">
        <w:t xml:space="preserve">, </w:t>
      </w:r>
      <w:r w:rsidRPr="00C05E79">
        <w:t>do not want to leave, perceives that they are not ready to transition or that they are too ill to leave; to previous ba</w:t>
      </w:r>
      <w:r w:rsidR="00636CB3">
        <w:t>d</w:t>
      </w:r>
      <w:r w:rsidRPr="00C05E79">
        <w:t xml:space="preserve"> experiences and </w:t>
      </w:r>
      <w:r w:rsidR="00636CB3">
        <w:t>fear</w:t>
      </w:r>
      <w:r w:rsidRPr="00C05E79">
        <w:t xml:space="preserve"> that something will happen in the community. Outreach Workers had 3,689 repeat contacts with Class </w:t>
      </w:r>
      <w:r w:rsidR="00636CB3">
        <w:t>M</w:t>
      </w:r>
      <w:r w:rsidRPr="00C05E79">
        <w:t xml:space="preserve">embers regarding questions or concerns about the </w:t>
      </w:r>
      <w:r w:rsidR="00842F4D">
        <w:t xml:space="preserve">process or general advocacy. </w:t>
      </w:r>
      <w:r w:rsidRPr="00C05E79">
        <w:t>There were 39 contacts with guardians via telephone or in person.   Outreach Workers also obtain</w:t>
      </w:r>
      <w:r w:rsidR="00D01507" w:rsidRPr="00C05E79">
        <w:t xml:space="preserve">ed </w:t>
      </w:r>
      <w:r w:rsidRPr="00C05E79">
        <w:t>Class Members’ consent for Specialized Assessments (Occupational Ther</w:t>
      </w:r>
      <w:r w:rsidR="00842F4D">
        <w:t xml:space="preserve">apy and Neuropsychological). </w:t>
      </w:r>
      <w:r w:rsidR="00636CB3">
        <w:t>42</w:t>
      </w:r>
      <w:r w:rsidRPr="00C05E79">
        <w:t xml:space="preserve"> Class Members were approached seeking consent to conduct a Neuropsych</w:t>
      </w:r>
      <w:r w:rsidR="001F1557" w:rsidRPr="00C05E79">
        <w:t>ological</w:t>
      </w:r>
      <w:r w:rsidRPr="00C05E79">
        <w:t xml:space="preserve"> Assessment</w:t>
      </w:r>
      <w:r w:rsidR="00C64F50">
        <w:t>,</w:t>
      </w:r>
      <w:r w:rsidRPr="00C05E79">
        <w:t xml:space="preserve"> 2</w:t>
      </w:r>
      <w:r w:rsidR="00636CB3">
        <w:t>8</w:t>
      </w:r>
      <w:r w:rsidRPr="00C05E79">
        <w:t xml:space="preserve"> Class Members (</w:t>
      </w:r>
      <w:r w:rsidR="00636CB3">
        <w:t>67</w:t>
      </w:r>
      <w:r w:rsidR="00842F4D">
        <w:t xml:space="preserve">%) gave consent. </w:t>
      </w:r>
      <w:r w:rsidR="00CF2D76">
        <w:t>9</w:t>
      </w:r>
      <w:r w:rsidRPr="00C05E79">
        <w:t xml:space="preserve"> Class Members were approached seeking consent to conduct an OT Assessment</w:t>
      </w:r>
      <w:r w:rsidR="00C64F50">
        <w:t>,</w:t>
      </w:r>
      <w:r w:rsidRPr="00C05E79">
        <w:t xml:space="preserve"> </w:t>
      </w:r>
      <w:r w:rsidR="00CF2D76">
        <w:t>9</w:t>
      </w:r>
      <w:r w:rsidRPr="00C05E79">
        <w:t xml:space="preserve"> subsequently gave cons</w:t>
      </w:r>
      <w:r w:rsidR="00842F4D">
        <w:t xml:space="preserve">ent (100%). </w:t>
      </w:r>
      <w:r w:rsidR="00D01507" w:rsidRPr="00C05E79">
        <w:t xml:space="preserve">Concurrently, Outreach Workers </w:t>
      </w:r>
      <w:r w:rsidRPr="00C05E79">
        <w:t>f</w:t>
      </w:r>
      <w:r w:rsidR="00CF2D76">
        <w:t>ilter</w:t>
      </w:r>
      <w:r w:rsidRPr="00C05E79">
        <w:t xml:space="preserve"> requests from Class Members for a Resident Review assessment.   306 Class Members request</w:t>
      </w:r>
      <w:r w:rsidR="00CF2D76">
        <w:t>ed</w:t>
      </w:r>
      <w:r w:rsidRPr="00C05E79">
        <w:t xml:space="preserve"> a Resident Review through NAMI, who subsequently forward</w:t>
      </w:r>
      <w:r w:rsidR="00D01507" w:rsidRPr="00C05E79">
        <w:t>s</w:t>
      </w:r>
      <w:r w:rsidRPr="00C05E79">
        <w:t xml:space="preserve"> the</w:t>
      </w:r>
      <w:r w:rsidR="00D01507" w:rsidRPr="00C05E79">
        <w:t>se</w:t>
      </w:r>
      <w:r w:rsidRPr="00C05E79">
        <w:t xml:space="preserve"> request</w:t>
      </w:r>
      <w:r w:rsidR="00D01507" w:rsidRPr="00C05E79">
        <w:t>s</w:t>
      </w:r>
      <w:r w:rsidRPr="00C05E79">
        <w:t xml:space="preserve"> to DMH. </w:t>
      </w:r>
      <w:r w:rsidR="00D305B5">
        <w:t xml:space="preserve"> </w:t>
      </w:r>
      <w:r w:rsidRPr="00C05E79">
        <w:t>118 Class Members sought</w:t>
      </w:r>
      <w:r w:rsidR="00D01507" w:rsidRPr="00C05E79">
        <w:t xml:space="preserve"> the assistance of</w:t>
      </w:r>
      <w:r w:rsidRPr="00C05E79">
        <w:t xml:space="preserve"> </w:t>
      </w:r>
      <w:r w:rsidR="00CF2D76">
        <w:t xml:space="preserve">an </w:t>
      </w:r>
      <w:r w:rsidRPr="00C05E79">
        <w:t>Outreach Worker to assist in troubleshooting issues</w:t>
      </w:r>
      <w:r w:rsidR="00D01507" w:rsidRPr="00C05E79">
        <w:t xml:space="preserve"> or to address</w:t>
      </w:r>
      <w:r w:rsidR="00842F4D">
        <w:t xml:space="preserve"> questions or concerns. </w:t>
      </w:r>
      <w:r w:rsidRPr="00C05E79">
        <w:t xml:space="preserve">NAMI’s Outreach Workers also assisted 7 Class Members </w:t>
      </w:r>
      <w:r w:rsidR="00CF2D76">
        <w:t>in</w:t>
      </w:r>
      <w:r w:rsidRPr="00C05E79">
        <w:t xml:space="preserve"> complet</w:t>
      </w:r>
      <w:r w:rsidR="00CF2D76">
        <w:t>ing</w:t>
      </w:r>
      <w:r w:rsidRPr="00C05E79">
        <w:t xml:space="preserve"> an appeal request based on the outcome of thei</w:t>
      </w:r>
      <w:r w:rsidR="00842F4D">
        <w:t xml:space="preserve">r Resident Review assessments. </w:t>
      </w:r>
      <w:r w:rsidRPr="00C05E79">
        <w:t xml:space="preserve">Outreach Workers also </w:t>
      </w:r>
      <w:r w:rsidR="00D01507" w:rsidRPr="00C05E79">
        <w:t>convened</w:t>
      </w:r>
      <w:r w:rsidRPr="00C05E79">
        <w:t xml:space="preserve"> quarterly community meetings in each of the 24 </w:t>
      </w:r>
      <w:r w:rsidR="00CF2D76">
        <w:t>facilities</w:t>
      </w:r>
      <w:r w:rsidRPr="00C05E79">
        <w:t>.    An estimated 612 Class Members attended these collective meetings.</w:t>
      </w:r>
      <w:r w:rsidR="00842F4D">
        <w:t xml:space="preserve"> </w:t>
      </w:r>
      <w:r w:rsidR="00D01507" w:rsidRPr="00C05E79">
        <w:t>NAMI</w:t>
      </w:r>
      <w:r w:rsidR="00183066" w:rsidRPr="00C05E79">
        <w:t xml:space="preserve">’s Outreach </w:t>
      </w:r>
      <w:r w:rsidR="00D01507" w:rsidRPr="00C05E79">
        <w:t>Ambassadors</w:t>
      </w:r>
      <w:r w:rsidR="00183066" w:rsidRPr="00C05E79">
        <w:t xml:space="preserve"> of Good Will are an extension to ongoing Outreach efforts.  Currently, </w:t>
      </w:r>
      <w:r w:rsidR="00E31508" w:rsidRPr="00C05E79">
        <w:t xml:space="preserve">there are </w:t>
      </w:r>
      <w:r w:rsidR="00183066" w:rsidRPr="00C05E79">
        <w:t xml:space="preserve">13 Ambassadors </w:t>
      </w:r>
      <w:r w:rsidR="00CF2D76">
        <w:t xml:space="preserve">who </w:t>
      </w:r>
      <w:r w:rsidR="00183066" w:rsidRPr="00C05E79">
        <w:t>work in the IMD/SMHRFs for a total of eight hours, each, per month.   Ambassadors serve as the voice of a ‘lived experience’ as a person who once resided in a SMHRF and through the efforts of the Consent Decree transitioned from this setting to community independence</w:t>
      </w:r>
      <w:r w:rsidR="00CF2D76">
        <w:t>.  They share</w:t>
      </w:r>
      <w:r w:rsidR="00183066" w:rsidRPr="00C05E79">
        <w:t xml:space="preserve"> their</w:t>
      </w:r>
      <w:r w:rsidR="00CF2D76">
        <w:t xml:space="preserve"> respective</w:t>
      </w:r>
      <w:r w:rsidR="00183066" w:rsidRPr="00C05E79">
        <w:t xml:space="preserve"> journey</w:t>
      </w:r>
      <w:r w:rsidR="00CF2D76">
        <w:t>s</w:t>
      </w:r>
      <w:r w:rsidR="00183066" w:rsidRPr="00C05E79">
        <w:t xml:space="preserve"> in making the transition, their process</w:t>
      </w:r>
      <w:r w:rsidR="00CF2D76">
        <w:t>es</w:t>
      </w:r>
      <w:r w:rsidR="00183066" w:rsidRPr="00C05E79">
        <w:t xml:space="preserve"> in addressing personal recovery and the hurdles faced</w:t>
      </w:r>
      <w:r w:rsidR="00E31508" w:rsidRPr="00C05E79">
        <w:t xml:space="preserve"> in achieving a balance</w:t>
      </w:r>
      <w:r w:rsidR="00183066" w:rsidRPr="00C05E79">
        <w:t>.  Ambassadors also provide opportunities for Class Members to observe community-based settings by accompanying them outside of the facility</w:t>
      </w:r>
      <w:r w:rsidR="00CF2D76">
        <w:t>, if deemed appropriate</w:t>
      </w:r>
      <w:r w:rsidR="00183066" w:rsidRPr="00C05E79">
        <w:t>.   During this reporting period, Ambassadors had contact with 1,105</w:t>
      </w:r>
      <w:r w:rsidR="00E31508" w:rsidRPr="00C05E79">
        <w:t xml:space="preserve"> Class Members</w:t>
      </w:r>
      <w:r w:rsidR="00842F4D">
        <w:t xml:space="preserve">. </w:t>
      </w:r>
      <w:r w:rsidR="00E31508" w:rsidRPr="00C05E79">
        <w:t>They had direct i</w:t>
      </w:r>
      <w:r w:rsidR="00183066" w:rsidRPr="00C05E79">
        <w:t xml:space="preserve">nterface with </w:t>
      </w:r>
      <w:r w:rsidR="00183066" w:rsidRPr="00D97E40">
        <w:t xml:space="preserve">612 Class </w:t>
      </w:r>
      <w:r w:rsidR="00E31508" w:rsidRPr="00D97E40">
        <w:t>M</w:t>
      </w:r>
      <w:r w:rsidR="00183066" w:rsidRPr="00D97E40">
        <w:t xml:space="preserve">embers </w:t>
      </w:r>
      <w:r w:rsidR="00E31508" w:rsidRPr="00D97E40">
        <w:t>(55%) during</w:t>
      </w:r>
      <w:r w:rsidR="00183066" w:rsidRPr="00D97E40">
        <w:t xml:space="preserve"> community meetings and </w:t>
      </w:r>
      <w:r w:rsidR="00E31508" w:rsidRPr="00D97E40">
        <w:t xml:space="preserve">an additional </w:t>
      </w:r>
      <w:r w:rsidR="00183066" w:rsidRPr="00D97E40">
        <w:t xml:space="preserve">493 Class Members </w:t>
      </w:r>
      <w:r w:rsidR="00E31508" w:rsidRPr="00D97E40">
        <w:t>(47%)</w:t>
      </w:r>
      <w:r w:rsidR="00E31508" w:rsidRPr="00C05E79">
        <w:t xml:space="preserve"> </w:t>
      </w:r>
      <w:r w:rsidR="00183066" w:rsidRPr="00C05E79">
        <w:t xml:space="preserve">in one-on-one discussions </w:t>
      </w:r>
      <w:r w:rsidR="00E31508" w:rsidRPr="00C05E79">
        <w:t>throughout t</w:t>
      </w:r>
      <w:r w:rsidR="00183066" w:rsidRPr="00C05E79">
        <w:t>he facilities</w:t>
      </w:r>
      <w:r w:rsidR="002A2DD9" w:rsidRPr="00A700AB">
        <w:t xml:space="preserve">.  </w:t>
      </w:r>
      <w:r w:rsidR="00291409" w:rsidRPr="008A7C78">
        <w:t xml:space="preserve">NAMI </w:t>
      </w:r>
      <w:r w:rsidR="004D4988" w:rsidRPr="008A7C78">
        <w:t xml:space="preserve">received </w:t>
      </w:r>
      <w:r w:rsidR="006D5E29" w:rsidRPr="008A7C78">
        <w:t xml:space="preserve">an </w:t>
      </w:r>
      <w:r w:rsidR="004D4988" w:rsidRPr="008A7C78">
        <w:t>extensive training curriculum</w:t>
      </w:r>
      <w:r w:rsidR="006D5E29" w:rsidRPr="008A7C78">
        <w:t>,</w:t>
      </w:r>
      <w:r w:rsidR="004D4988" w:rsidRPr="008A7C78">
        <w:t xml:space="preserve"> developed by DMH, in addition to </w:t>
      </w:r>
      <w:r w:rsidR="00BB36D5" w:rsidRPr="008A7C78">
        <w:t xml:space="preserve">comprehensive training provided to </w:t>
      </w:r>
      <w:r w:rsidR="00277C07" w:rsidRPr="008A7C78">
        <w:t xml:space="preserve">Outreach </w:t>
      </w:r>
      <w:r w:rsidR="00457BB6" w:rsidRPr="008A7C78">
        <w:t>Workers</w:t>
      </w:r>
      <w:r w:rsidR="00277C07" w:rsidRPr="008A7C78">
        <w:t xml:space="preserve"> </w:t>
      </w:r>
      <w:r w:rsidR="00A7423A" w:rsidRPr="008A7C78">
        <w:t xml:space="preserve">directly </w:t>
      </w:r>
      <w:r w:rsidR="00BB36D5" w:rsidRPr="008A7C78">
        <w:t>by DMH.</w:t>
      </w:r>
      <w:r w:rsidR="004D4988" w:rsidRPr="008A7C78">
        <w:t xml:space="preserve">   NAMI </w:t>
      </w:r>
      <w:r w:rsidR="006D5E29" w:rsidRPr="008A7C78">
        <w:t xml:space="preserve">currently </w:t>
      </w:r>
      <w:r w:rsidR="004D4988" w:rsidRPr="008A7C78">
        <w:t>uses this</w:t>
      </w:r>
      <w:r w:rsidR="006D5E29" w:rsidRPr="008A7C78">
        <w:t xml:space="preserve"> curriculum</w:t>
      </w:r>
      <w:r w:rsidR="004D4988" w:rsidRPr="008A7C78">
        <w:t xml:space="preserve"> </w:t>
      </w:r>
      <w:r w:rsidR="00CC421E" w:rsidRPr="008A7C78">
        <w:t>to provide</w:t>
      </w:r>
      <w:r w:rsidR="004D4988" w:rsidRPr="008A7C78">
        <w:t xml:space="preserve"> orientation and ongoing training </w:t>
      </w:r>
      <w:r w:rsidR="006D5E29" w:rsidRPr="008A7C78">
        <w:t>to</w:t>
      </w:r>
      <w:r w:rsidR="004D4988" w:rsidRPr="008A7C78">
        <w:t xml:space="preserve"> Outreach Workers and Ambassadors. NAMI Outreach Workers have weekly meetings with DMH </w:t>
      </w:r>
      <w:r w:rsidR="006D5E29" w:rsidRPr="008A7C78">
        <w:t>to obtain</w:t>
      </w:r>
      <w:r w:rsidR="004D4988" w:rsidRPr="008A7C78">
        <w:t xml:space="preserve"> </w:t>
      </w:r>
      <w:r w:rsidR="00CC421E" w:rsidRPr="008A7C78">
        <w:t xml:space="preserve">information </w:t>
      </w:r>
      <w:r w:rsidR="004D4988" w:rsidRPr="008A7C78">
        <w:t>update</w:t>
      </w:r>
      <w:r w:rsidR="00CC421E" w:rsidRPr="008A7C78">
        <w:t>s and problem resolutions.</w:t>
      </w:r>
      <w:r w:rsidR="004D4988" w:rsidRPr="008A7C78">
        <w:rPr>
          <w:u w:val="single"/>
        </w:rPr>
        <w:t xml:space="preserve"> </w:t>
      </w:r>
      <w:r w:rsidR="002A2DD9" w:rsidRPr="00A700AB">
        <w:t xml:space="preserve">  </w:t>
      </w:r>
      <w:r w:rsidR="002A2DD9">
        <w:t xml:space="preserve">DMH has made a concerted effort to ensure that Resident Reviewers and NAMI Outreach Workers are equipped with an abundance of crafted fliers, brochures and videos (consumer friendly, in basic language) designed to share very concrete information about the Consent Decree, its intent, rights and resources available.   NAMI, through their extensive training with Ambassadors, uses the same materials.  The contractors, NAMI, Resident Reviewers and community agencies, consistently make concerted attempts to assist Class Members with their understanding about the Consent Decree, however, the depth of what one understands or not is extremely subjective.  There are no pre or post-tests given to Class Members to measure their level of understanding.  However, the State does attest that the information conveyed by those contracted to deliver this information is complete and thorough, and those delivering the information are well versed and qualified to address any questions that may arise.   </w:t>
      </w:r>
    </w:p>
    <w:p w:rsidR="00EB7699" w:rsidRPr="00A204B8" w:rsidRDefault="00EB7699" w:rsidP="00572410">
      <w:pPr>
        <w:rPr>
          <w:color w:val="548DD4" w:themeColor="text2" w:themeTint="99"/>
          <w:u w:val="single"/>
        </w:rPr>
      </w:pPr>
    </w:p>
    <w:p w:rsidR="00572410" w:rsidRPr="008A7C78" w:rsidRDefault="00572410" w:rsidP="00572410">
      <w:pPr>
        <w:rPr>
          <w:b/>
          <w:i/>
        </w:rPr>
      </w:pPr>
      <w:r w:rsidRPr="008A7C78">
        <w:rPr>
          <w:b/>
          <w:i/>
          <w:sz w:val="24"/>
          <w:szCs w:val="24"/>
        </w:rPr>
        <w:t>Outreach</w:t>
      </w:r>
      <w:r w:rsidR="00BB36D5" w:rsidRPr="008A7C78">
        <w:rPr>
          <w:b/>
          <w:i/>
          <w:sz w:val="24"/>
          <w:szCs w:val="24"/>
        </w:rPr>
        <w:t xml:space="preserve"> First Half</w:t>
      </w:r>
      <w:r w:rsidRPr="008A7C78">
        <w:rPr>
          <w:b/>
          <w:i/>
          <w:sz w:val="24"/>
          <w:szCs w:val="24"/>
        </w:rPr>
        <w:t xml:space="preserve"> </w:t>
      </w:r>
      <w:r w:rsidRPr="008A7C78">
        <w:rPr>
          <w:b/>
          <w:i/>
        </w:rPr>
        <w:t>FY18 (7/1/17-12/31/17)</w:t>
      </w:r>
    </w:p>
    <w:p w:rsidR="00572410" w:rsidRPr="008A7C78" w:rsidRDefault="00A7423A" w:rsidP="00572410">
      <w:r w:rsidRPr="008A7C78">
        <w:t>During the first half of FY18</w:t>
      </w:r>
      <w:r w:rsidR="00572410" w:rsidRPr="008A7C78">
        <w:t>, Outreach Workers held two of the required meetings</w:t>
      </w:r>
      <w:r w:rsidR="00012928" w:rsidRPr="008A7C78">
        <w:t xml:space="preserve"> in September and December 2017</w:t>
      </w:r>
      <w:r w:rsidR="00572410" w:rsidRPr="008A7C78">
        <w:t xml:space="preserve">. </w:t>
      </w:r>
      <w:r w:rsidR="00572410" w:rsidRPr="008A7C78">
        <w:rPr>
          <w:b/>
        </w:rPr>
        <w:t>Approximately 600 Class Members and 22 different Ambassadors were present at these meetings.</w:t>
      </w:r>
      <w:r w:rsidR="00572410" w:rsidRPr="008A7C78">
        <w:t xml:space="preserve"> Ambassadors facilitate these meetings</w:t>
      </w:r>
      <w:r w:rsidR="00F85E3D" w:rsidRPr="008A7C78">
        <w:t>,</w:t>
      </w:r>
      <w:r w:rsidR="00572410" w:rsidRPr="008A7C78">
        <w:t xml:space="preserve"> but Outreach Workers are on hand to provide details on the steps of the </w:t>
      </w:r>
      <w:r w:rsidR="00572410" w:rsidRPr="008A7C78">
        <w:rPr>
          <w:i/>
          <w:iCs/>
        </w:rPr>
        <w:t xml:space="preserve">Moving On </w:t>
      </w:r>
      <w:r w:rsidR="00572410" w:rsidRPr="008A7C78">
        <w:t xml:space="preserve">process, information on how to get involved, and advice on how to prepare for the assessment. The </w:t>
      </w:r>
      <w:r w:rsidR="00572410" w:rsidRPr="008A7C78">
        <w:rPr>
          <w:i/>
          <w:iCs/>
        </w:rPr>
        <w:t xml:space="preserve">Moving On </w:t>
      </w:r>
      <w:r w:rsidR="00572410" w:rsidRPr="008A7C78">
        <w:t xml:space="preserve">videos were shown at some of the meetings. </w:t>
      </w:r>
    </w:p>
    <w:p w:rsidR="00572410" w:rsidRPr="008A7C78" w:rsidRDefault="00572410" w:rsidP="00572410">
      <w:pPr>
        <w:rPr>
          <w:color w:val="548DD4" w:themeColor="text2" w:themeTint="99"/>
        </w:rPr>
      </w:pPr>
    </w:p>
    <w:p w:rsidR="00F85E3D" w:rsidRPr="008A7C78" w:rsidRDefault="00F85E3D" w:rsidP="00572410">
      <w:pPr>
        <w:rPr>
          <w:color w:val="548DD4" w:themeColor="text2" w:themeTint="99"/>
        </w:rPr>
      </w:pPr>
    </w:p>
    <w:p w:rsidR="00F85E3D" w:rsidRDefault="00F85E3D" w:rsidP="00572410">
      <w:pPr>
        <w:rPr>
          <w:color w:val="548DD4" w:themeColor="text2" w:themeTint="99"/>
        </w:rPr>
      </w:pPr>
    </w:p>
    <w:p w:rsidR="008A7C78" w:rsidRPr="008A7C78" w:rsidRDefault="008A7C78" w:rsidP="00572410">
      <w:pPr>
        <w:rPr>
          <w:color w:val="548DD4" w:themeColor="text2" w:themeTint="99"/>
        </w:rPr>
      </w:pPr>
    </w:p>
    <w:p w:rsidR="00572410" w:rsidRPr="008A7C78" w:rsidRDefault="00572410" w:rsidP="00572410">
      <w:pPr>
        <w:rPr>
          <w:rFonts w:cs="Times New Roman"/>
          <w:b/>
          <w:i/>
        </w:rPr>
      </w:pPr>
      <w:r w:rsidRPr="008A7C78">
        <w:rPr>
          <w:rFonts w:cs="Times New Roman"/>
          <w:b/>
          <w:i/>
        </w:rPr>
        <w:t>Outreach</w:t>
      </w:r>
      <w:r w:rsidR="00A7423A" w:rsidRPr="008A7C78">
        <w:rPr>
          <w:rFonts w:cs="Times New Roman"/>
          <w:b/>
          <w:i/>
        </w:rPr>
        <w:t xml:space="preserve"> Second Half</w:t>
      </w:r>
      <w:r w:rsidRPr="008A7C78">
        <w:rPr>
          <w:rFonts w:cs="Times New Roman"/>
          <w:b/>
          <w:i/>
        </w:rPr>
        <w:t xml:space="preserve"> FY18</w:t>
      </w:r>
      <w:r w:rsidR="00BB36D5" w:rsidRPr="008A7C78">
        <w:rPr>
          <w:rFonts w:cs="Times New Roman"/>
          <w:b/>
          <w:i/>
        </w:rPr>
        <w:t xml:space="preserve"> </w:t>
      </w:r>
      <w:r w:rsidRPr="008A7C78">
        <w:rPr>
          <w:rFonts w:cs="Times New Roman"/>
          <w:b/>
          <w:i/>
        </w:rPr>
        <w:t>(1/1/18-6/30/18)</w:t>
      </w:r>
    </w:p>
    <w:p w:rsidR="00572410" w:rsidRPr="008A7C78" w:rsidRDefault="00572410" w:rsidP="00572410">
      <w:pPr>
        <w:rPr>
          <w:rFonts w:cs="Times New Roman"/>
        </w:rPr>
      </w:pPr>
      <w:r w:rsidRPr="008A7C78">
        <w:rPr>
          <w:rFonts w:cs="Times New Roman"/>
        </w:rPr>
        <w:t>NAMI Chicago completed</w:t>
      </w:r>
      <w:r w:rsidR="00A7423A" w:rsidRPr="008A7C78">
        <w:rPr>
          <w:rFonts w:cs="Times New Roman"/>
        </w:rPr>
        <w:t xml:space="preserve"> the remaining 2</w:t>
      </w:r>
      <w:r w:rsidRPr="008A7C78">
        <w:rPr>
          <w:rFonts w:cs="Times New Roman"/>
        </w:rPr>
        <w:t xml:space="preserve"> rounds of community meetings for FY18</w:t>
      </w:r>
      <w:r w:rsidR="00012928" w:rsidRPr="008A7C78">
        <w:rPr>
          <w:rFonts w:cs="Times New Roman"/>
        </w:rPr>
        <w:t xml:space="preserve"> in March and June 2018</w:t>
      </w:r>
      <w:r w:rsidRPr="008A7C78">
        <w:rPr>
          <w:rFonts w:cs="Times New Roman"/>
        </w:rPr>
        <w:t xml:space="preserve">.   During this reporting period, approximately 612 Class Members and 20 different Ambassadors were present at these meetings. </w:t>
      </w:r>
      <w:r w:rsidRPr="008A7C78">
        <w:rPr>
          <w:rFonts w:cs="Times New Roman"/>
          <w:b/>
        </w:rPr>
        <w:t xml:space="preserve"> </w:t>
      </w:r>
      <w:r w:rsidRPr="008A7C78">
        <w:rPr>
          <w:rFonts w:cs="Times New Roman"/>
        </w:rPr>
        <w:t xml:space="preserve">  Ambassadors facilitate these meetings</w:t>
      </w:r>
      <w:r w:rsidR="00F85E3D" w:rsidRPr="008A7C78">
        <w:rPr>
          <w:rFonts w:cs="Times New Roman"/>
        </w:rPr>
        <w:t>,</w:t>
      </w:r>
      <w:r w:rsidRPr="008A7C78">
        <w:rPr>
          <w:rFonts w:cs="Times New Roman"/>
        </w:rPr>
        <w:t xml:space="preserve"> but Outreach Workers are on hand to provide details on the steps of the </w:t>
      </w:r>
      <w:r w:rsidRPr="008A7C78">
        <w:rPr>
          <w:rFonts w:cs="Times New Roman"/>
          <w:i/>
          <w:iCs/>
        </w:rPr>
        <w:t xml:space="preserve">Moving On </w:t>
      </w:r>
      <w:r w:rsidRPr="008A7C78">
        <w:rPr>
          <w:rFonts w:cs="Times New Roman"/>
        </w:rPr>
        <w:t xml:space="preserve">process, information on how to get involved, and advice on how to prepare for the assessment. The </w:t>
      </w:r>
      <w:r w:rsidRPr="008A7C78">
        <w:rPr>
          <w:rFonts w:cs="Times New Roman"/>
          <w:i/>
          <w:iCs/>
        </w:rPr>
        <w:t xml:space="preserve">Moving On </w:t>
      </w:r>
      <w:r w:rsidRPr="008A7C78">
        <w:rPr>
          <w:rFonts w:cs="Times New Roman"/>
        </w:rPr>
        <w:t xml:space="preserve">videos were shown at some of the meetings. </w:t>
      </w:r>
      <w:r w:rsidR="00A7423A" w:rsidRPr="008A7C78">
        <w:rPr>
          <w:rFonts w:cs="Times New Roman"/>
        </w:rPr>
        <w:t>For FY18, a total of 4 meetings were held, in which approximately 1212 Class Members received Outreach through the NAMI meetings.</w:t>
      </w:r>
    </w:p>
    <w:p w:rsidR="00277C07" w:rsidRPr="00A700AB" w:rsidRDefault="006D5E29" w:rsidP="006D5E29">
      <w:r w:rsidRPr="008A7C78">
        <w:t xml:space="preserve">Themes on Refusals (top ten) – (1) </w:t>
      </w:r>
      <w:r w:rsidR="00A7423A" w:rsidRPr="008A7C78">
        <w:t xml:space="preserve">CM </w:t>
      </w:r>
      <w:r w:rsidRPr="008A7C78">
        <w:t>Refuse</w:t>
      </w:r>
      <w:r w:rsidR="00AF3B57" w:rsidRPr="008A7C78">
        <w:t>d</w:t>
      </w:r>
      <w:r w:rsidRPr="008A7C78">
        <w:t xml:space="preserve"> to elaborate, (2) Plans to live with family, (3) Not ready to leave/this is my home/like it here; (4) Guardian refused, (5) Not interested, (6) Do not want to be assessed/don’t ask; (7) </w:t>
      </w:r>
      <w:r w:rsidR="00AF3B57" w:rsidRPr="008A7C78">
        <w:t>I d</w:t>
      </w:r>
      <w:r w:rsidRPr="008A7C78">
        <w:t>on’t feel that I can live on my own, (8)</w:t>
      </w:r>
      <w:r w:rsidR="00AF3B57" w:rsidRPr="008A7C78">
        <w:t xml:space="preserve"> I have medical conditions, (9) Lived in the community before, bad experience, (10) Court mandated</w:t>
      </w:r>
      <w:r w:rsidR="00A7423A" w:rsidRPr="008A7C78">
        <w:t>.</w:t>
      </w:r>
      <w:r w:rsidRPr="008A7C78">
        <w:br/>
      </w:r>
    </w:p>
    <w:p w:rsidR="00AF3B57" w:rsidRPr="008A7C78" w:rsidRDefault="00AF3B57" w:rsidP="006D5E29">
      <w:pPr>
        <w:rPr>
          <w:u w:val="single"/>
        </w:rPr>
      </w:pPr>
      <w:r w:rsidRPr="008A7C78">
        <w:t>Refusals by agency by month</w:t>
      </w:r>
      <w:r w:rsidR="00A5705F" w:rsidRPr="008A7C78">
        <w:t xml:space="preserve"> compared to number</w:t>
      </w:r>
      <w:r w:rsidR="00A7423A" w:rsidRPr="008A7C78">
        <w:t xml:space="preserve"> of CM</w:t>
      </w:r>
      <w:r w:rsidR="00A5705F" w:rsidRPr="008A7C78">
        <w:t xml:space="preserve"> </w:t>
      </w:r>
      <w:r w:rsidR="00277C07" w:rsidRPr="00D97E40">
        <w:t>Approached</w:t>
      </w:r>
    </w:p>
    <w:tbl>
      <w:tblPr>
        <w:tblStyle w:val="TableGrid"/>
        <w:tblW w:w="0" w:type="auto"/>
        <w:tblInd w:w="2155" w:type="dxa"/>
        <w:tblLook w:val="04A0" w:firstRow="1" w:lastRow="0" w:firstColumn="1" w:lastColumn="0" w:noHBand="0" w:noVBand="1"/>
      </w:tblPr>
      <w:tblGrid>
        <w:gridCol w:w="1771"/>
        <w:gridCol w:w="1697"/>
        <w:gridCol w:w="1664"/>
        <w:gridCol w:w="898"/>
        <w:gridCol w:w="2058"/>
        <w:gridCol w:w="2041"/>
        <w:gridCol w:w="671"/>
      </w:tblGrid>
      <w:tr w:rsidR="00297128" w:rsidRPr="00A700AB" w:rsidTr="00FB0F1F">
        <w:tc>
          <w:tcPr>
            <w:tcW w:w="1771" w:type="dxa"/>
            <w:tcBorders>
              <w:right w:val="double" w:sz="4" w:space="0" w:color="auto"/>
            </w:tcBorders>
          </w:tcPr>
          <w:p w:rsidR="00B0547E" w:rsidRPr="008A7C78" w:rsidRDefault="00B0547E" w:rsidP="00AF3B57">
            <w:pPr>
              <w:jc w:val="center"/>
              <w:rPr>
                <w:u w:val="single"/>
              </w:rPr>
            </w:pPr>
            <w:r w:rsidRPr="008A7C78">
              <w:rPr>
                <w:u w:val="single"/>
              </w:rPr>
              <w:t>Month</w:t>
            </w:r>
          </w:p>
        </w:tc>
        <w:tc>
          <w:tcPr>
            <w:tcW w:w="1697" w:type="dxa"/>
            <w:tcBorders>
              <w:right w:val="single" w:sz="4" w:space="0" w:color="auto"/>
            </w:tcBorders>
          </w:tcPr>
          <w:p w:rsidR="00B0547E" w:rsidRPr="00D97E40" w:rsidRDefault="00B0547E" w:rsidP="005A67C5">
            <w:pPr>
              <w:jc w:val="center"/>
            </w:pPr>
            <w:r w:rsidRPr="00D97E40">
              <w:t xml:space="preserve">LSSI Total </w:t>
            </w:r>
            <w:r w:rsidR="00297128" w:rsidRPr="00D97E40">
              <w:t>Approached*</w:t>
            </w:r>
          </w:p>
        </w:tc>
        <w:tc>
          <w:tcPr>
            <w:tcW w:w="1664" w:type="dxa"/>
            <w:tcBorders>
              <w:left w:val="single" w:sz="4" w:space="0" w:color="auto"/>
              <w:right w:val="double" w:sz="4" w:space="0" w:color="auto"/>
            </w:tcBorders>
          </w:tcPr>
          <w:p w:rsidR="00B0547E" w:rsidRPr="00D97E40" w:rsidRDefault="00B0547E" w:rsidP="005A67C5">
            <w:pPr>
              <w:jc w:val="center"/>
            </w:pPr>
            <w:r w:rsidRPr="00D97E40">
              <w:t>LSSI Refused</w:t>
            </w:r>
          </w:p>
        </w:tc>
        <w:tc>
          <w:tcPr>
            <w:tcW w:w="898" w:type="dxa"/>
            <w:tcBorders>
              <w:left w:val="double" w:sz="4" w:space="0" w:color="auto"/>
              <w:right w:val="double" w:sz="4" w:space="0" w:color="auto"/>
            </w:tcBorders>
          </w:tcPr>
          <w:p w:rsidR="00B0547E" w:rsidRPr="00D97E40" w:rsidRDefault="00B0547E" w:rsidP="005A67C5">
            <w:pPr>
              <w:jc w:val="center"/>
            </w:pPr>
            <w:r w:rsidRPr="00D97E40">
              <w:t>%</w:t>
            </w:r>
          </w:p>
        </w:tc>
        <w:tc>
          <w:tcPr>
            <w:tcW w:w="2058" w:type="dxa"/>
            <w:tcBorders>
              <w:left w:val="double" w:sz="4" w:space="0" w:color="auto"/>
            </w:tcBorders>
          </w:tcPr>
          <w:p w:rsidR="00B0547E" w:rsidRPr="00D97E40" w:rsidRDefault="00B0547E" w:rsidP="005A67C5">
            <w:pPr>
              <w:jc w:val="center"/>
            </w:pPr>
            <w:r w:rsidRPr="00D97E40">
              <w:t>MFS Total</w:t>
            </w:r>
            <w:r w:rsidR="00297128" w:rsidRPr="00D97E40">
              <w:t xml:space="preserve"> Approached*</w:t>
            </w:r>
          </w:p>
        </w:tc>
        <w:tc>
          <w:tcPr>
            <w:tcW w:w="2041" w:type="dxa"/>
            <w:tcBorders>
              <w:right w:val="double" w:sz="4" w:space="0" w:color="auto"/>
            </w:tcBorders>
          </w:tcPr>
          <w:p w:rsidR="00B0547E" w:rsidRPr="00D97E40" w:rsidRDefault="00B0547E" w:rsidP="005A67C5">
            <w:pPr>
              <w:jc w:val="center"/>
            </w:pPr>
            <w:r w:rsidRPr="00D97E40">
              <w:t xml:space="preserve">MFS Refused </w:t>
            </w:r>
          </w:p>
        </w:tc>
        <w:tc>
          <w:tcPr>
            <w:tcW w:w="671" w:type="dxa"/>
            <w:tcBorders>
              <w:left w:val="double" w:sz="4" w:space="0" w:color="auto"/>
            </w:tcBorders>
          </w:tcPr>
          <w:p w:rsidR="00B0547E" w:rsidRPr="00D97E40" w:rsidRDefault="00B0547E" w:rsidP="005A67C5">
            <w:pPr>
              <w:jc w:val="center"/>
            </w:pPr>
            <w:r w:rsidRPr="00D97E40">
              <w:t>%</w:t>
            </w:r>
          </w:p>
        </w:tc>
      </w:tr>
      <w:tr w:rsidR="00297128" w:rsidRPr="00A700AB" w:rsidTr="00FB0F1F">
        <w:tc>
          <w:tcPr>
            <w:tcW w:w="1771" w:type="dxa"/>
            <w:tcBorders>
              <w:right w:val="double" w:sz="4" w:space="0" w:color="auto"/>
            </w:tcBorders>
          </w:tcPr>
          <w:p w:rsidR="00B0547E" w:rsidRPr="00D97E40" w:rsidRDefault="00B0547E" w:rsidP="006D5E29">
            <w:r w:rsidRPr="00D97E40">
              <w:t>July 2017</w:t>
            </w:r>
          </w:p>
        </w:tc>
        <w:tc>
          <w:tcPr>
            <w:tcW w:w="1697" w:type="dxa"/>
            <w:tcBorders>
              <w:right w:val="single" w:sz="4" w:space="0" w:color="auto"/>
            </w:tcBorders>
          </w:tcPr>
          <w:p w:rsidR="00B0547E" w:rsidRPr="00D97E40" w:rsidRDefault="00B0547E" w:rsidP="00E06801">
            <w:pPr>
              <w:jc w:val="center"/>
            </w:pPr>
            <w:r w:rsidRPr="00D97E40">
              <w:t>155</w:t>
            </w:r>
          </w:p>
        </w:tc>
        <w:tc>
          <w:tcPr>
            <w:tcW w:w="1664" w:type="dxa"/>
            <w:tcBorders>
              <w:left w:val="single" w:sz="4" w:space="0" w:color="auto"/>
              <w:right w:val="double" w:sz="4" w:space="0" w:color="auto"/>
            </w:tcBorders>
          </w:tcPr>
          <w:p w:rsidR="00B0547E" w:rsidRPr="00D97E40" w:rsidRDefault="00B0547E" w:rsidP="00E06801">
            <w:pPr>
              <w:jc w:val="center"/>
            </w:pPr>
            <w:r w:rsidRPr="00D97E40">
              <w:t>65</w:t>
            </w:r>
          </w:p>
        </w:tc>
        <w:tc>
          <w:tcPr>
            <w:tcW w:w="898" w:type="dxa"/>
            <w:tcBorders>
              <w:left w:val="double" w:sz="4" w:space="0" w:color="auto"/>
              <w:right w:val="double" w:sz="4" w:space="0" w:color="auto"/>
            </w:tcBorders>
          </w:tcPr>
          <w:p w:rsidR="00B0547E" w:rsidRPr="00D97E40" w:rsidRDefault="00B0547E" w:rsidP="00E06801">
            <w:pPr>
              <w:jc w:val="center"/>
            </w:pPr>
            <w:r w:rsidRPr="00D97E40">
              <w:t>42%</w:t>
            </w:r>
          </w:p>
        </w:tc>
        <w:tc>
          <w:tcPr>
            <w:tcW w:w="2058" w:type="dxa"/>
            <w:tcBorders>
              <w:left w:val="double" w:sz="4" w:space="0" w:color="auto"/>
            </w:tcBorders>
          </w:tcPr>
          <w:p w:rsidR="00B0547E" w:rsidRPr="00D97E40" w:rsidRDefault="00B0547E" w:rsidP="00E06801">
            <w:pPr>
              <w:jc w:val="center"/>
            </w:pPr>
            <w:r w:rsidRPr="00D97E40">
              <w:t>92</w:t>
            </w:r>
          </w:p>
        </w:tc>
        <w:tc>
          <w:tcPr>
            <w:tcW w:w="2041" w:type="dxa"/>
            <w:tcBorders>
              <w:right w:val="double" w:sz="4" w:space="0" w:color="auto"/>
            </w:tcBorders>
          </w:tcPr>
          <w:p w:rsidR="00B0547E" w:rsidRPr="00D97E40" w:rsidRDefault="00B0547E" w:rsidP="00E06801">
            <w:pPr>
              <w:jc w:val="center"/>
            </w:pPr>
            <w:r w:rsidRPr="00D97E40">
              <w:t>25</w:t>
            </w:r>
          </w:p>
        </w:tc>
        <w:tc>
          <w:tcPr>
            <w:tcW w:w="671" w:type="dxa"/>
            <w:tcBorders>
              <w:left w:val="double" w:sz="4" w:space="0" w:color="auto"/>
            </w:tcBorders>
          </w:tcPr>
          <w:p w:rsidR="00B0547E" w:rsidRPr="00D97E40" w:rsidRDefault="00B0547E" w:rsidP="00E06801">
            <w:pPr>
              <w:jc w:val="center"/>
            </w:pPr>
            <w:r w:rsidRPr="00D97E40">
              <w:t>27%</w:t>
            </w:r>
          </w:p>
        </w:tc>
      </w:tr>
      <w:tr w:rsidR="00297128" w:rsidRPr="00A700AB" w:rsidTr="00FB0F1F">
        <w:tc>
          <w:tcPr>
            <w:tcW w:w="1771" w:type="dxa"/>
            <w:tcBorders>
              <w:right w:val="double" w:sz="4" w:space="0" w:color="auto"/>
            </w:tcBorders>
          </w:tcPr>
          <w:p w:rsidR="00B0547E" w:rsidRPr="00D97E40" w:rsidRDefault="00B0547E" w:rsidP="006D5E29">
            <w:r w:rsidRPr="00D97E40">
              <w:t>August 2017</w:t>
            </w:r>
          </w:p>
        </w:tc>
        <w:tc>
          <w:tcPr>
            <w:tcW w:w="1697" w:type="dxa"/>
            <w:tcBorders>
              <w:right w:val="single" w:sz="4" w:space="0" w:color="auto"/>
            </w:tcBorders>
          </w:tcPr>
          <w:p w:rsidR="00B0547E" w:rsidRPr="00D97E40" w:rsidRDefault="00B0547E" w:rsidP="00E06801">
            <w:pPr>
              <w:jc w:val="center"/>
            </w:pPr>
            <w:r w:rsidRPr="00D97E40">
              <w:t>235</w:t>
            </w:r>
          </w:p>
        </w:tc>
        <w:tc>
          <w:tcPr>
            <w:tcW w:w="1664" w:type="dxa"/>
            <w:tcBorders>
              <w:left w:val="single" w:sz="4" w:space="0" w:color="auto"/>
              <w:right w:val="double" w:sz="4" w:space="0" w:color="auto"/>
            </w:tcBorders>
          </w:tcPr>
          <w:p w:rsidR="00B0547E" w:rsidRPr="00D97E40" w:rsidRDefault="00B0547E" w:rsidP="00E06801">
            <w:pPr>
              <w:jc w:val="center"/>
            </w:pPr>
            <w:r w:rsidRPr="00D97E40">
              <w:t>158</w:t>
            </w:r>
          </w:p>
        </w:tc>
        <w:tc>
          <w:tcPr>
            <w:tcW w:w="898" w:type="dxa"/>
            <w:tcBorders>
              <w:left w:val="double" w:sz="4" w:space="0" w:color="auto"/>
              <w:right w:val="double" w:sz="4" w:space="0" w:color="auto"/>
            </w:tcBorders>
          </w:tcPr>
          <w:p w:rsidR="00B0547E" w:rsidRPr="00D97E40" w:rsidRDefault="00B0547E" w:rsidP="00E06801">
            <w:pPr>
              <w:jc w:val="center"/>
            </w:pPr>
            <w:r w:rsidRPr="00D97E40">
              <w:t>67%</w:t>
            </w:r>
          </w:p>
        </w:tc>
        <w:tc>
          <w:tcPr>
            <w:tcW w:w="2058" w:type="dxa"/>
            <w:tcBorders>
              <w:left w:val="double" w:sz="4" w:space="0" w:color="auto"/>
            </w:tcBorders>
          </w:tcPr>
          <w:p w:rsidR="00B0547E" w:rsidRPr="00D97E40" w:rsidRDefault="00B0547E" w:rsidP="00E06801">
            <w:pPr>
              <w:jc w:val="center"/>
            </w:pPr>
            <w:r w:rsidRPr="00D97E40">
              <w:t>77</w:t>
            </w:r>
          </w:p>
        </w:tc>
        <w:tc>
          <w:tcPr>
            <w:tcW w:w="2041" w:type="dxa"/>
            <w:tcBorders>
              <w:right w:val="double" w:sz="4" w:space="0" w:color="auto"/>
            </w:tcBorders>
          </w:tcPr>
          <w:p w:rsidR="00B0547E" w:rsidRPr="00D97E40" w:rsidRDefault="00B0547E" w:rsidP="00E06801">
            <w:pPr>
              <w:jc w:val="center"/>
            </w:pPr>
            <w:r w:rsidRPr="00D97E40">
              <w:t>25</w:t>
            </w:r>
          </w:p>
        </w:tc>
        <w:tc>
          <w:tcPr>
            <w:tcW w:w="671" w:type="dxa"/>
            <w:tcBorders>
              <w:left w:val="double" w:sz="4" w:space="0" w:color="auto"/>
            </w:tcBorders>
          </w:tcPr>
          <w:p w:rsidR="00B0547E" w:rsidRPr="00D97E40" w:rsidRDefault="00B0547E" w:rsidP="00E06801">
            <w:pPr>
              <w:jc w:val="center"/>
            </w:pPr>
            <w:r w:rsidRPr="00D97E40">
              <w:t>32%</w:t>
            </w:r>
          </w:p>
        </w:tc>
      </w:tr>
      <w:tr w:rsidR="00297128" w:rsidRPr="00A700AB" w:rsidTr="00FB0F1F">
        <w:tc>
          <w:tcPr>
            <w:tcW w:w="1771" w:type="dxa"/>
            <w:tcBorders>
              <w:right w:val="double" w:sz="4" w:space="0" w:color="auto"/>
            </w:tcBorders>
          </w:tcPr>
          <w:p w:rsidR="00B0547E" w:rsidRPr="00D97E40" w:rsidRDefault="00B0547E" w:rsidP="006D5E29">
            <w:r w:rsidRPr="00D97E40">
              <w:t>September 2017</w:t>
            </w:r>
          </w:p>
        </w:tc>
        <w:tc>
          <w:tcPr>
            <w:tcW w:w="1697" w:type="dxa"/>
            <w:tcBorders>
              <w:right w:val="single" w:sz="4" w:space="0" w:color="auto"/>
            </w:tcBorders>
          </w:tcPr>
          <w:p w:rsidR="00B0547E" w:rsidRPr="00D97E40" w:rsidRDefault="00B0547E" w:rsidP="00E06801">
            <w:pPr>
              <w:jc w:val="center"/>
            </w:pPr>
            <w:r w:rsidRPr="00D97E40">
              <w:t>143</w:t>
            </w:r>
          </w:p>
        </w:tc>
        <w:tc>
          <w:tcPr>
            <w:tcW w:w="1664" w:type="dxa"/>
            <w:tcBorders>
              <w:left w:val="single" w:sz="4" w:space="0" w:color="auto"/>
              <w:right w:val="double" w:sz="4" w:space="0" w:color="auto"/>
            </w:tcBorders>
          </w:tcPr>
          <w:p w:rsidR="00B0547E" w:rsidRPr="00D97E40" w:rsidRDefault="00B0547E" w:rsidP="00E06801">
            <w:pPr>
              <w:jc w:val="center"/>
            </w:pPr>
            <w:r w:rsidRPr="00D97E40">
              <w:t>90</w:t>
            </w:r>
          </w:p>
        </w:tc>
        <w:tc>
          <w:tcPr>
            <w:tcW w:w="898" w:type="dxa"/>
            <w:tcBorders>
              <w:left w:val="double" w:sz="4" w:space="0" w:color="auto"/>
              <w:right w:val="double" w:sz="4" w:space="0" w:color="auto"/>
            </w:tcBorders>
          </w:tcPr>
          <w:p w:rsidR="00B0547E" w:rsidRPr="00D97E40" w:rsidRDefault="00B0547E" w:rsidP="00E06801">
            <w:pPr>
              <w:jc w:val="center"/>
            </w:pPr>
            <w:r w:rsidRPr="00D97E40">
              <w:t>63%</w:t>
            </w:r>
          </w:p>
        </w:tc>
        <w:tc>
          <w:tcPr>
            <w:tcW w:w="2058" w:type="dxa"/>
            <w:tcBorders>
              <w:left w:val="double" w:sz="4" w:space="0" w:color="auto"/>
            </w:tcBorders>
          </w:tcPr>
          <w:p w:rsidR="00B0547E" w:rsidRPr="00D97E40" w:rsidRDefault="00B0547E" w:rsidP="00E06801">
            <w:pPr>
              <w:jc w:val="center"/>
            </w:pPr>
            <w:r w:rsidRPr="00D97E40">
              <w:t>88</w:t>
            </w:r>
          </w:p>
        </w:tc>
        <w:tc>
          <w:tcPr>
            <w:tcW w:w="2041" w:type="dxa"/>
            <w:tcBorders>
              <w:right w:val="double" w:sz="4" w:space="0" w:color="auto"/>
            </w:tcBorders>
          </w:tcPr>
          <w:p w:rsidR="00B0547E" w:rsidRPr="00D97E40" w:rsidRDefault="00B0547E" w:rsidP="00E06801">
            <w:pPr>
              <w:jc w:val="center"/>
            </w:pPr>
            <w:r w:rsidRPr="00D97E40">
              <w:t>10</w:t>
            </w:r>
          </w:p>
        </w:tc>
        <w:tc>
          <w:tcPr>
            <w:tcW w:w="671" w:type="dxa"/>
            <w:tcBorders>
              <w:left w:val="double" w:sz="4" w:space="0" w:color="auto"/>
            </w:tcBorders>
          </w:tcPr>
          <w:p w:rsidR="00B0547E" w:rsidRPr="00D97E40" w:rsidRDefault="00B0547E" w:rsidP="00E06801">
            <w:pPr>
              <w:jc w:val="center"/>
            </w:pPr>
            <w:r w:rsidRPr="00D97E40">
              <w:t>11%</w:t>
            </w:r>
          </w:p>
        </w:tc>
      </w:tr>
      <w:tr w:rsidR="00297128" w:rsidRPr="00A700AB" w:rsidTr="00FB0F1F">
        <w:tc>
          <w:tcPr>
            <w:tcW w:w="1771" w:type="dxa"/>
            <w:tcBorders>
              <w:right w:val="double" w:sz="4" w:space="0" w:color="auto"/>
            </w:tcBorders>
          </w:tcPr>
          <w:p w:rsidR="00B0547E" w:rsidRPr="00D97E40" w:rsidRDefault="00B0547E" w:rsidP="006D5E29">
            <w:r w:rsidRPr="00D97E40">
              <w:t>October 2017</w:t>
            </w:r>
          </w:p>
        </w:tc>
        <w:tc>
          <w:tcPr>
            <w:tcW w:w="1697" w:type="dxa"/>
            <w:tcBorders>
              <w:right w:val="single" w:sz="4" w:space="0" w:color="auto"/>
            </w:tcBorders>
          </w:tcPr>
          <w:p w:rsidR="00B0547E" w:rsidRPr="00D97E40" w:rsidRDefault="00B0547E" w:rsidP="00E06801">
            <w:pPr>
              <w:jc w:val="center"/>
            </w:pPr>
            <w:r w:rsidRPr="00D97E40">
              <w:t>193</w:t>
            </w:r>
          </w:p>
        </w:tc>
        <w:tc>
          <w:tcPr>
            <w:tcW w:w="1664" w:type="dxa"/>
            <w:tcBorders>
              <w:left w:val="single" w:sz="4" w:space="0" w:color="auto"/>
              <w:right w:val="double" w:sz="4" w:space="0" w:color="auto"/>
            </w:tcBorders>
          </w:tcPr>
          <w:p w:rsidR="00B0547E" w:rsidRPr="00D97E40" w:rsidRDefault="00B0547E" w:rsidP="00E06801">
            <w:pPr>
              <w:jc w:val="center"/>
            </w:pPr>
            <w:r w:rsidRPr="00D97E40">
              <w:t>119</w:t>
            </w:r>
          </w:p>
        </w:tc>
        <w:tc>
          <w:tcPr>
            <w:tcW w:w="898" w:type="dxa"/>
            <w:tcBorders>
              <w:left w:val="double" w:sz="4" w:space="0" w:color="auto"/>
              <w:right w:val="double" w:sz="4" w:space="0" w:color="auto"/>
            </w:tcBorders>
          </w:tcPr>
          <w:p w:rsidR="00B0547E" w:rsidRPr="00D97E40" w:rsidRDefault="00B0547E" w:rsidP="00E06801">
            <w:pPr>
              <w:jc w:val="center"/>
            </w:pPr>
            <w:r w:rsidRPr="00D97E40">
              <w:t>62%</w:t>
            </w:r>
          </w:p>
        </w:tc>
        <w:tc>
          <w:tcPr>
            <w:tcW w:w="2058" w:type="dxa"/>
            <w:tcBorders>
              <w:left w:val="double" w:sz="4" w:space="0" w:color="auto"/>
            </w:tcBorders>
          </w:tcPr>
          <w:p w:rsidR="00B0547E" w:rsidRPr="00D97E40" w:rsidRDefault="00B0547E" w:rsidP="00E06801">
            <w:pPr>
              <w:jc w:val="center"/>
            </w:pPr>
            <w:r w:rsidRPr="00D97E40">
              <w:t>117</w:t>
            </w:r>
          </w:p>
        </w:tc>
        <w:tc>
          <w:tcPr>
            <w:tcW w:w="2041" w:type="dxa"/>
            <w:tcBorders>
              <w:right w:val="double" w:sz="4" w:space="0" w:color="auto"/>
            </w:tcBorders>
          </w:tcPr>
          <w:p w:rsidR="00B0547E" w:rsidRPr="00D97E40" w:rsidRDefault="00B0547E" w:rsidP="00E06801">
            <w:pPr>
              <w:jc w:val="center"/>
            </w:pPr>
            <w:r w:rsidRPr="00D97E40">
              <w:t>28</w:t>
            </w:r>
          </w:p>
        </w:tc>
        <w:tc>
          <w:tcPr>
            <w:tcW w:w="671" w:type="dxa"/>
            <w:tcBorders>
              <w:left w:val="double" w:sz="4" w:space="0" w:color="auto"/>
            </w:tcBorders>
          </w:tcPr>
          <w:p w:rsidR="00B0547E" w:rsidRPr="00D97E40" w:rsidRDefault="00B0547E" w:rsidP="00E06801">
            <w:pPr>
              <w:jc w:val="center"/>
            </w:pPr>
            <w:r w:rsidRPr="00D97E40">
              <w:t>24%</w:t>
            </w:r>
          </w:p>
        </w:tc>
      </w:tr>
      <w:tr w:rsidR="00297128" w:rsidRPr="00A700AB" w:rsidTr="00FB0F1F">
        <w:tc>
          <w:tcPr>
            <w:tcW w:w="1771" w:type="dxa"/>
            <w:tcBorders>
              <w:right w:val="double" w:sz="4" w:space="0" w:color="auto"/>
            </w:tcBorders>
          </w:tcPr>
          <w:p w:rsidR="00B0547E" w:rsidRPr="00D97E40" w:rsidRDefault="00B0547E" w:rsidP="006D5E29">
            <w:r w:rsidRPr="00D97E40">
              <w:t>November 2017</w:t>
            </w:r>
          </w:p>
        </w:tc>
        <w:tc>
          <w:tcPr>
            <w:tcW w:w="1697" w:type="dxa"/>
            <w:tcBorders>
              <w:right w:val="single" w:sz="4" w:space="0" w:color="auto"/>
            </w:tcBorders>
          </w:tcPr>
          <w:p w:rsidR="00B0547E" w:rsidRPr="00D97E40" w:rsidRDefault="00B0547E" w:rsidP="00E06801">
            <w:pPr>
              <w:jc w:val="center"/>
            </w:pPr>
            <w:r w:rsidRPr="00D97E40">
              <w:t>109</w:t>
            </w:r>
          </w:p>
        </w:tc>
        <w:tc>
          <w:tcPr>
            <w:tcW w:w="1664" w:type="dxa"/>
            <w:tcBorders>
              <w:left w:val="single" w:sz="4" w:space="0" w:color="auto"/>
              <w:right w:val="double" w:sz="4" w:space="0" w:color="auto"/>
            </w:tcBorders>
          </w:tcPr>
          <w:p w:rsidR="00B0547E" w:rsidRPr="00D97E40" w:rsidRDefault="00B0547E" w:rsidP="00E06801">
            <w:pPr>
              <w:jc w:val="center"/>
            </w:pPr>
            <w:r w:rsidRPr="00D97E40">
              <w:t>54</w:t>
            </w:r>
          </w:p>
        </w:tc>
        <w:tc>
          <w:tcPr>
            <w:tcW w:w="898" w:type="dxa"/>
            <w:tcBorders>
              <w:left w:val="double" w:sz="4" w:space="0" w:color="auto"/>
              <w:right w:val="double" w:sz="4" w:space="0" w:color="auto"/>
            </w:tcBorders>
          </w:tcPr>
          <w:p w:rsidR="00B0547E" w:rsidRPr="00D97E40" w:rsidRDefault="00B0547E" w:rsidP="00E06801">
            <w:pPr>
              <w:jc w:val="center"/>
            </w:pPr>
            <w:r w:rsidRPr="00D97E40">
              <w:t>52%</w:t>
            </w:r>
          </w:p>
        </w:tc>
        <w:tc>
          <w:tcPr>
            <w:tcW w:w="2058" w:type="dxa"/>
            <w:tcBorders>
              <w:left w:val="double" w:sz="4" w:space="0" w:color="auto"/>
            </w:tcBorders>
          </w:tcPr>
          <w:p w:rsidR="00B0547E" w:rsidRPr="00D97E40" w:rsidRDefault="00B0547E" w:rsidP="00E06801">
            <w:pPr>
              <w:jc w:val="center"/>
            </w:pPr>
            <w:r w:rsidRPr="00D97E40">
              <w:t>64</w:t>
            </w:r>
          </w:p>
        </w:tc>
        <w:tc>
          <w:tcPr>
            <w:tcW w:w="2041" w:type="dxa"/>
            <w:tcBorders>
              <w:right w:val="double" w:sz="4" w:space="0" w:color="auto"/>
            </w:tcBorders>
          </w:tcPr>
          <w:p w:rsidR="00B0547E" w:rsidRPr="00D97E40" w:rsidRDefault="00B0547E" w:rsidP="00E06801">
            <w:pPr>
              <w:jc w:val="center"/>
            </w:pPr>
            <w:r w:rsidRPr="00D97E40">
              <w:t>12</w:t>
            </w:r>
          </w:p>
        </w:tc>
        <w:tc>
          <w:tcPr>
            <w:tcW w:w="671" w:type="dxa"/>
            <w:tcBorders>
              <w:left w:val="double" w:sz="4" w:space="0" w:color="auto"/>
            </w:tcBorders>
          </w:tcPr>
          <w:p w:rsidR="00B0547E" w:rsidRPr="00D97E40" w:rsidRDefault="00B0547E" w:rsidP="00E06801">
            <w:pPr>
              <w:jc w:val="center"/>
            </w:pPr>
            <w:r w:rsidRPr="00D97E40">
              <w:t>19%</w:t>
            </w:r>
          </w:p>
        </w:tc>
      </w:tr>
      <w:tr w:rsidR="00297128" w:rsidRPr="00A700AB" w:rsidTr="00FB0F1F">
        <w:tc>
          <w:tcPr>
            <w:tcW w:w="1771" w:type="dxa"/>
            <w:tcBorders>
              <w:right w:val="double" w:sz="4" w:space="0" w:color="auto"/>
            </w:tcBorders>
          </w:tcPr>
          <w:p w:rsidR="00B0547E" w:rsidRPr="00D97E40" w:rsidRDefault="00B0547E" w:rsidP="006D5E29">
            <w:r w:rsidRPr="00D97E40">
              <w:t>December 2017</w:t>
            </w:r>
          </w:p>
        </w:tc>
        <w:tc>
          <w:tcPr>
            <w:tcW w:w="1697" w:type="dxa"/>
            <w:tcBorders>
              <w:right w:val="single" w:sz="4" w:space="0" w:color="auto"/>
            </w:tcBorders>
          </w:tcPr>
          <w:p w:rsidR="00B0547E" w:rsidRPr="00D97E40" w:rsidRDefault="00B0547E" w:rsidP="00E06801">
            <w:pPr>
              <w:jc w:val="center"/>
            </w:pPr>
            <w:r w:rsidRPr="00D97E40">
              <w:t>195</w:t>
            </w:r>
          </w:p>
        </w:tc>
        <w:tc>
          <w:tcPr>
            <w:tcW w:w="1664" w:type="dxa"/>
            <w:tcBorders>
              <w:left w:val="single" w:sz="4" w:space="0" w:color="auto"/>
              <w:right w:val="double" w:sz="4" w:space="0" w:color="auto"/>
            </w:tcBorders>
          </w:tcPr>
          <w:p w:rsidR="00B0547E" w:rsidRPr="00D97E40" w:rsidRDefault="00B0547E" w:rsidP="00E06801">
            <w:pPr>
              <w:jc w:val="center"/>
            </w:pPr>
            <w:r w:rsidRPr="00D97E40">
              <w:t>133</w:t>
            </w:r>
          </w:p>
        </w:tc>
        <w:tc>
          <w:tcPr>
            <w:tcW w:w="898" w:type="dxa"/>
            <w:tcBorders>
              <w:left w:val="double" w:sz="4" w:space="0" w:color="auto"/>
              <w:right w:val="double" w:sz="4" w:space="0" w:color="auto"/>
            </w:tcBorders>
          </w:tcPr>
          <w:p w:rsidR="00B0547E" w:rsidRPr="00D97E40" w:rsidRDefault="00B0547E" w:rsidP="00E06801">
            <w:pPr>
              <w:jc w:val="center"/>
            </w:pPr>
            <w:r w:rsidRPr="00D97E40">
              <w:t>68%</w:t>
            </w:r>
          </w:p>
        </w:tc>
        <w:tc>
          <w:tcPr>
            <w:tcW w:w="2058" w:type="dxa"/>
            <w:tcBorders>
              <w:left w:val="double" w:sz="4" w:space="0" w:color="auto"/>
            </w:tcBorders>
          </w:tcPr>
          <w:p w:rsidR="00B0547E" w:rsidRPr="00D97E40" w:rsidRDefault="00B0547E" w:rsidP="00E06801">
            <w:pPr>
              <w:jc w:val="center"/>
            </w:pPr>
            <w:r w:rsidRPr="00D97E40">
              <w:t>56</w:t>
            </w:r>
          </w:p>
        </w:tc>
        <w:tc>
          <w:tcPr>
            <w:tcW w:w="2041" w:type="dxa"/>
            <w:tcBorders>
              <w:right w:val="double" w:sz="4" w:space="0" w:color="auto"/>
            </w:tcBorders>
          </w:tcPr>
          <w:p w:rsidR="00B0547E" w:rsidRPr="00D97E40" w:rsidRDefault="00B0547E" w:rsidP="00E06801">
            <w:pPr>
              <w:jc w:val="center"/>
            </w:pPr>
            <w:r w:rsidRPr="00D97E40">
              <w:t>5</w:t>
            </w:r>
          </w:p>
        </w:tc>
        <w:tc>
          <w:tcPr>
            <w:tcW w:w="671" w:type="dxa"/>
            <w:tcBorders>
              <w:left w:val="double" w:sz="4" w:space="0" w:color="auto"/>
            </w:tcBorders>
          </w:tcPr>
          <w:p w:rsidR="00B0547E" w:rsidRPr="00D97E40" w:rsidRDefault="00B0547E" w:rsidP="00E06801">
            <w:pPr>
              <w:jc w:val="center"/>
            </w:pPr>
            <w:r w:rsidRPr="00D97E40">
              <w:t>9%</w:t>
            </w:r>
          </w:p>
        </w:tc>
      </w:tr>
      <w:tr w:rsidR="00297128" w:rsidRPr="00A700AB" w:rsidTr="00FB0F1F">
        <w:tc>
          <w:tcPr>
            <w:tcW w:w="1771" w:type="dxa"/>
            <w:tcBorders>
              <w:right w:val="double" w:sz="4" w:space="0" w:color="auto"/>
            </w:tcBorders>
          </w:tcPr>
          <w:p w:rsidR="00B0547E" w:rsidRPr="00D97E40" w:rsidRDefault="00B0547E" w:rsidP="006D5E29">
            <w:r w:rsidRPr="00D97E40">
              <w:t>January 2018</w:t>
            </w:r>
          </w:p>
        </w:tc>
        <w:tc>
          <w:tcPr>
            <w:tcW w:w="1697" w:type="dxa"/>
            <w:tcBorders>
              <w:right w:val="single" w:sz="4" w:space="0" w:color="auto"/>
            </w:tcBorders>
          </w:tcPr>
          <w:p w:rsidR="00B0547E" w:rsidRPr="00D97E40" w:rsidRDefault="00B0547E" w:rsidP="00E06801">
            <w:pPr>
              <w:jc w:val="center"/>
            </w:pPr>
            <w:r w:rsidRPr="00D97E40">
              <w:t>200</w:t>
            </w:r>
          </w:p>
        </w:tc>
        <w:tc>
          <w:tcPr>
            <w:tcW w:w="1664" w:type="dxa"/>
            <w:tcBorders>
              <w:left w:val="single" w:sz="4" w:space="0" w:color="auto"/>
              <w:right w:val="double" w:sz="4" w:space="0" w:color="auto"/>
            </w:tcBorders>
          </w:tcPr>
          <w:p w:rsidR="00B0547E" w:rsidRPr="00D97E40" w:rsidRDefault="00B0547E" w:rsidP="00E06801">
            <w:pPr>
              <w:jc w:val="center"/>
            </w:pPr>
            <w:r w:rsidRPr="00D97E40">
              <w:t>105</w:t>
            </w:r>
          </w:p>
        </w:tc>
        <w:tc>
          <w:tcPr>
            <w:tcW w:w="898" w:type="dxa"/>
            <w:tcBorders>
              <w:left w:val="double" w:sz="4" w:space="0" w:color="auto"/>
              <w:right w:val="double" w:sz="4" w:space="0" w:color="auto"/>
            </w:tcBorders>
          </w:tcPr>
          <w:p w:rsidR="00B0547E" w:rsidRPr="00D97E40" w:rsidRDefault="00B0547E" w:rsidP="00E06801">
            <w:pPr>
              <w:jc w:val="center"/>
            </w:pPr>
            <w:r w:rsidRPr="00D97E40">
              <w:t>53%</w:t>
            </w:r>
          </w:p>
        </w:tc>
        <w:tc>
          <w:tcPr>
            <w:tcW w:w="2058" w:type="dxa"/>
            <w:tcBorders>
              <w:left w:val="double" w:sz="4" w:space="0" w:color="auto"/>
            </w:tcBorders>
          </w:tcPr>
          <w:p w:rsidR="00B0547E" w:rsidRPr="00D97E40" w:rsidRDefault="00B0547E" w:rsidP="00E06801">
            <w:pPr>
              <w:jc w:val="center"/>
            </w:pPr>
            <w:r w:rsidRPr="00D97E40">
              <w:t>53</w:t>
            </w:r>
          </w:p>
        </w:tc>
        <w:tc>
          <w:tcPr>
            <w:tcW w:w="2041" w:type="dxa"/>
            <w:tcBorders>
              <w:right w:val="double" w:sz="4" w:space="0" w:color="auto"/>
            </w:tcBorders>
          </w:tcPr>
          <w:p w:rsidR="00B0547E" w:rsidRPr="00D97E40" w:rsidRDefault="00B0547E" w:rsidP="00E06801">
            <w:pPr>
              <w:jc w:val="center"/>
            </w:pPr>
            <w:r w:rsidRPr="00D97E40">
              <w:t>6</w:t>
            </w:r>
          </w:p>
        </w:tc>
        <w:tc>
          <w:tcPr>
            <w:tcW w:w="671" w:type="dxa"/>
            <w:tcBorders>
              <w:left w:val="double" w:sz="4" w:space="0" w:color="auto"/>
            </w:tcBorders>
          </w:tcPr>
          <w:p w:rsidR="00B0547E" w:rsidRPr="00D97E40" w:rsidRDefault="00B0547E" w:rsidP="00E06801">
            <w:pPr>
              <w:jc w:val="center"/>
            </w:pPr>
            <w:r w:rsidRPr="00D97E40">
              <w:t>11%</w:t>
            </w:r>
          </w:p>
        </w:tc>
      </w:tr>
      <w:tr w:rsidR="00297128" w:rsidRPr="00A700AB" w:rsidTr="00FB0F1F">
        <w:tc>
          <w:tcPr>
            <w:tcW w:w="1771" w:type="dxa"/>
            <w:tcBorders>
              <w:right w:val="double" w:sz="4" w:space="0" w:color="auto"/>
            </w:tcBorders>
          </w:tcPr>
          <w:p w:rsidR="00B0547E" w:rsidRPr="00D97E40" w:rsidRDefault="00B0547E" w:rsidP="00BB3EA3">
            <w:r w:rsidRPr="00D97E40">
              <w:t>February 2018</w:t>
            </w:r>
          </w:p>
        </w:tc>
        <w:tc>
          <w:tcPr>
            <w:tcW w:w="1697" w:type="dxa"/>
            <w:tcBorders>
              <w:right w:val="single" w:sz="4" w:space="0" w:color="auto"/>
            </w:tcBorders>
          </w:tcPr>
          <w:p w:rsidR="00B0547E" w:rsidRPr="00D97E40" w:rsidRDefault="00B0547E" w:rsidP="00E06801">
            <w:pPr>
              <w:jc w:val="center"/>
            </w:pPr>
            <w:r w:rsidRPr="00D97E40">
              <w:t>179</w:t>
            </w:r>
          </w:p>
        </w:tc>
        <w:tc>
          <w:tcPr>
            <w:tcW w:w="1664" w:type="dxa"/>
            <w:tcBorders>
              <w:left w:val="single" w:sz="4" w:space="0" w:color="auto"/>
              <w:right w:val="double" w:sz="4" w:space="0" w:color="auto"/>
            </w:tcBorders>
          </w:tcPr>
          <w:p w:rsidR="00B0547E" w:rsidRPr="00D97E40" w:rsidRDefault="00B0547E" w:rsidP="00E06801">
            <w:pPr>
              <w:jc w:val="center"/>
            </w:pPr>
            <w:r w:rsidRPr="00D97E40">
              <w:t>89</w:t>
            </w:r>
          </w:p>
        </w:tc>
        <w:tc>
          <w:tcPr>
            <w:tcW w:w="898" w:type="dxa"/>
            <w:tcBorders>
              <w:left w:val="double" w:sz="4" w:space="0" w:color="auto"/>
              <w:right w:val="double" w:sz="4" w:space="0" w:color="auto"/>
            </w:tcBorders>
          </w:tcPr>
          <w:p w:rsidR="00B0547E" w:rsidRPr="00D97E40" w:rsidRDefault="00B0547E" w:rsidP="00E06801">
            <w:pPr>
              <w:jc w:val="center"/>
            </w:pPr>
            <w:r w:rsidRPr="00D97E40">
              <w:t>50%</w:t>
            </w:r>
          </w:p>
        </w:tc>
        <w:tc>
          <w:tcPr>
            <w:tcW w:w="2058" w:type="dxa"/>
            <w:tcBorders>
              <w:left w:val="double" w:sz="4" w:space="0" w:color="auto"/>
            </w:tcBorders>
          </w:tcPr>
          <w:p w:rsidR="00B0547E" w:rsidRPr="00D97E40" w:rsidRDefault="00B0547E" w:rsidP="00E06801">
            <w:pPr>
              <w:jc w:val="center"/>
            </w:pPr>
            <w:r w:rsidRPr="00D97E40">
              <w:t>56</w:t>
            </w:r>
          </w:p>
        </w:tc>
        <w:tc>
          <w:tcPr>
            <w:tcW w:w="2041" w:type="dxa"/>
            <w:tcBorders>
              <w:right w:val="double" w:sz="4" w:space="0" w:color="auto"/>
            </w:tcBorders>
          </w:tcPr>
          <w:p w:rsidR="00B0547E" w:rsidRPr="00D97E40" w:rsidRDefault="00B0547E" w:rsidP="00E06801">
            <w:pPr>
              <w:jc w:val="center"/>
            </w:pPr>
            <w:r w:rsidRPr="00D97E40">
              <w:t xml:space="preserve">9     </w:t>
            </w:r>
          </w:p>
        </w:tc>
        <w:tc>
          <w:tcPr>
            <w:tcW w:w="671" w:type="dxa"/>
            <w:tcBorders>
              <w:left w:val="double" w:sz="4" w:space="0" w:color="auto"/>
            </w:tcBorders>
          </w:tcPr>
          <w:p w:rsidR="00B0547E" w:rsidRPr="00D97E40" w:rsidRDefault="00B0547E" w:rsidP="00E06801">
            <w:pPr>
              <w:jc w:val="center"/>
            </w:pPr>
            <w:r w:rsidRPr="00D97E40">
              <w:t>16%</w:t>
            </w:r>
          </w:p>
        </w:tc>
      </w:tr>
      <w:tr w:rsidR="00297128" w:rsidRPr="00A700AB" w:rsidTr="00FB0F1F">
        <w:tc>
          <w:tcPr>
            <w:tcW w:w="1771" w:type="dxa"/>
            <w:tcBorders>
              <w:right w:val="double" w:sz="4" w:space="0" w:color="auto"/>
            </w:tcBorders>
          </w:tcPr>
          <w:p w:rsidR="00B0547E" w:rsidRPr="00D97E40" w:rsidRDefault="00B0547E" w:rsidP="00BB3EA3">
            <w:r w:rsidRPr="00D97E40">
              <w:t>March 2018</w:t>
            </w:r>
          </w:p>
        </w:tc>
        <w:tc>
          <w:tcPr>
            <w:tcW w:w="1697" w:type="dxa"/>
            <w:tcBorders>
              <w:right w:val="single" w:sz="4" w:space="0" w:color="auto"/>
            </w:tcBorders>
          </w:tcPr>
          <w:p w:rsidR="00B0547E" w:rsidRPr="00D97E40" w:rsidRDefault="00B0547E" w:rsidP="00E06801">
            <w:pPr>
              <w:jc w:val="center"/>
            </w:pPr>
            <w:r w:rsidRPr="00D97E40">
              <w:t>140</w:t>
            </w:r>
          </w:p>
        </w:tc>
        <w:tc>
          <w:tcPr>
            <w:tcW w:w="1664" w:type="dxa"/>
            <w:tcBorders>
              <w:left w:val="single" w:sz="4" w:space="0" w:color="auto"/>
              <w:right w:val="double" w:sz="4" w:space="0" w:color="auto"/>
            </w:tcBorders>
          </w:tcPr>
          <w:p w:rsidR="00B0547E" w:rsidRPr="00D97E40" w:rsidRDefault="00B0547E" w:rsidP="00E06801">
            <w:pPr>
              <w:jc w:val="center"/>
            </w:pPr>
            <w:r w:rsidRPr="00D97E40">
              <w:t>66</w:t>
            </w:r>
          </w:p>
        </w:tc>
        <w:tc>
          <w:tcPr>
            <w:tcW w:w="898" w:type="dxa"/>
            <w:tcBorders>
              <w:left w:val="double" w:sz="4" w:space="0" w:color="auto"/>
              <w:right w:val="double" w:sz="4" w:space="0" w:color="auto"/>
            </w:tcBorders>
          </w:tcPr>
          <w:p w:rsidR="00B0547E" w:rsidRPr="00D97E40" w:rsidRDefault="00B0547E" w:rsidP="00E06801">
            <w:pPr>
              <w:jc w:val="center"/>
            </w:pPr>
            <w:r w:rsidRPr="00D97E40">
              <w:t>47%</w:t>
            </w:r>
          </w:p>
        </w:tc>
        <w:tc>
          <w:tcPr>
            <w:tcW w:w="2058" w:type="dxa"/>
            <w:tcBorders>
              <w:left w:val="double" w:sz="4" w:space="0" w:color="auto"/>
            </w:tcBorders>
          </w:tcPr>
          <w:p w:rsidR="00B0547E" w:rsidRPr="00D97E40" w:rsidRDefault="00B0547E" w:rsidP="00E06801">
            <w:pPr>
              <w:jc w:val="center"/>
            </w:pPr>
            <w:r w:rsidRPr="00D97E40">
              <w:t>107</w:t>
            </w:r>
          </w:p>
        </w:tc>
        <w:tc>
          <w:tcPr>
            <w:tcW w:w="2041" w:type="dxa"/>
            <w:tcBorders>
              <w:right w:val="double" w:sz="4" w:space="0" w:color="auto"/>
            </w:tcBorders>
          </w:tcPr>
          <w:p w:rsidR="00B0547E" w:rsidRPr="00D97E40" w:rsidRDefault="00B0547E" w:rsidP="00E06801">
            <w:pPr>
              <w:jc w:val="center"/>
            </w:pPr>
            <w:r w:rsidRPr="00D97E40">
              <w:t xml:space="preserve">37    </w:t>
            </w:r>
          </w:p>
        </w:tc>
        <w:tc>
          <w:tcPr>
            <w:tcW w:w="671" w:type="dxa"/>
            <w:tcBorders>
              <w:left w:val="double" w:sz="4" w:space="0" w:color="auto"/>
            </w:tcBorders>
          </w:tcPr>
          <w:p w:rsidR="00B0547E" w:rsidRPr="00D97E40" w:rsidRDefault="00B0547E" w:rsidP="00E06801">
            <w:pPr>
              <w:jc w:val="center"/>
            </w:pPr>
            <w:r w:rsidRPr="00D97E40">
              <w:t>35%</w:t>
            </w:r>
          </w:p>
        </w:tc>
      </w:tr>
      <w:tr w:rsidR="00297128" w:rsidRPr="00A700AB" w:rsidTr="00FB0F1F">
        <w:tc>
          <w:tcPr>
            <w:tcW w:w="1771" w:type="dxa"/>
            <w:tcBorders>
              <w:right w:val="double" w:sz="4" w:space="0" w:color="auto"/>
            </w:tcBorders>
          </w:tcPr>
          <w:p w:rsidR="00B0547E" w:rsidRPr="00D97E40" w:rsidRDefault="00B0547E" w:rsidP="00BB3EA3">
            <w:r w:rsidRPr="00D97E40">
              <w:t>April 2018</w:t>
            </w:r>
          </w:p>
        </w:tc>
        <w:tc>
          <w:tcPr>
            <w:tcW w:w="1697" w:type="dxa"/>
            <w:tcBorders>
              <w:right w:val="single" w:sz="4" w:space="0" w:color="auto"/>
            </w:tcBorders>
          </w:tcPr>
          <w:p w:rsidR="00B0547E" w:rsidRPr="00D97E40" w:rsidRDefault="00B0547E" w:rsidP="00E06801">
            <w:pPr>
              <w:jc w:val="center"/>
            </w:pPr>
            <w:r w:rsidRPr="00D97E40">
              <w:t>202</w:t>
            </w:r>
          </w:p>
        </w:tc>
        <w:tc>
          <w:tcPr>
            <w:tcW w:w="1664" w:type="dxa"/>
            <w:tcBorders>
              <w:left w:val="single" w:sz="4" w:space="0" w:color="auto"/>
              <w:right w:val="double" w:sz="4" w:space="0" w:color="auto"/>
            </w:tcBorders>
          </w:tcPr>
          <w:p w:rsidR="00B0547E" w:rsidRPr="00D97E40" w:rsidRDefault="00B0547E" w:rsidP="00E06801">
            <w:pPr>
              <w:jc w:val="center"/>
            </w:pPr>
            <w:r w:rsidRPr="00D97E40">
              <w:t>116</w:t>
            </w:r>
          </w:p>
        </w:tc>
        <w:tc>
          <w:tcPr>
            <w:tcW w:w="898" w:type="dxa"/>
            <w:tcBorders>
              <w:left w:val="double" w:sz="4" w:space="0" w:color="auto"/>
              <w:right w:val="double" w:sz="4" w:space="0" w:color="auto"/>
            </w:tcBorders>
          </w:tcPr>
          <w:p w:rsidR="00B0547E" w:rsidRPr="00D97E40" w:rsidRDefault="00B0547E" w:rsidP="00E06801">
            <w:pPr>
              <w:jc w:val="center"/>
            </w:pPr>
            <w:r w:rsidRPr="00D97E40">
              <w:t>57%</w:t>
            </w:r>
          </w:p>
        </w:tc>
        <w:tc>
          <w:tcPr>
            <w:tcW w:w="2058" w:type="dxa"/>
            <w:tcBorders>
              <w:left w:val="double" w:sz="4" w:space="0" w:color="auto"/>
            </w:tcBorders>
          </w:tcPr>
          <w:p w:rsidR="00B0547E" w:rsidRPr="00D97E40" w:rsidRDefault="00B0547E" w:rsidP="00E06801">
            <w:pPr>
              <w:jc w:val="center"/>
            </w:pPr>
            <w:r w:rsidRPr="00D97E40">
              <w:t>123</w:t>
            </w:r>
          </w:p>
        </w:tc>
        <w:tc>
          <w:tcPr>
            <w:tcW w:w="2041" w:type="dxa"/>
            <w:tcBorders>
              <w:right w:val="double" w:sz="4" w:space="0" w:color="auto"/>
            </w:tcBorders>
          </w:tcPr>
          <w:p w:rsidR="00B0547E" w:rsidRPr="00D97E40" w:rsidRDefault="00B0547E" w:rsidP="00E06801">
            <w:pPr>
              <w:jc w:val="center"/>
            </w:pPr>
            <w:r w:rsidRPr="00D97E40">
              <w:t xml:space="preserve">43  </w:t>
            </w:r>
          </w:p>
        </w:tc>
        <w:tc>
          <w:tcPr>
            <w:tcW w:w="671" w:type="dxa"/>
            <w:tcBorders>
              <w:left w:val="double" w:sz="4" w:space="0" w:color="auto"/>
            </w:tcBorders>
          </w:tcPr>
          <w:p w:rsidR="00B0547E" w:rsidRPr="00D97E40" w:rsidRDefault="00B0547E" w:rsidP="00E06801">
            <w:pPr>
              <w:jc w:val="center"/>
            </w:pPr>
            <w:r w:rsidRPr="00D97E40">
              <w:t>35%</w:t>
            </w:r>
          </w:p>
        </w:tc>
      </w:tr>
      <w:tr w:rsidR="00297128" w:rsidRPr="00A700AB" w:rsidTr="00FB0F1F">
        <w:tc>
          <w:tcPr>
            <w:tcW w:w="1771" w:type="dxa"/>
            <w:tcBorders>
              <w:right w:val="double" w:sz="4" w:space="0" w:color="auto"/>
            </w:tcBorders>
          </w:tcPr>
          <w:p w:rsidR="00B0547E" w:rsidRPr="00D97E40" w:rsidRDefault="00B0547E" w:rsidP="00BB3EA3">
            <w:r w:rsidRPr="00D97E40">
              <w:t>May 2018</w:t>
            </w:r>
          </w:p>
        </w:tc>
        <w:tc>
          <w:tcPr>
            <w:tcW w:w="1697" w:type="dxa"/>
            <w:tcBorders>
              <w:right w:val="single" w:sz="4" w:space="0" w:color="auto"/>
            </w:tcBorders>
          </w:tcPr>
          <w:p w:rsidR="00B0547E" w:rsidRPr="00D97E40" w:rsidRDefault="00B0547E" w:rsidP="00E06801">
            <w:pPr>
              <w:jc w:val="center"/>
            </w:pPr>
            <w:r w:rsidRPr="00D97E40">
              <w:t>302</w:t>
            </w:r>
          </w:p>
        </w:tc>
        <w:tc>
          <w:tcPr>
            <w:tcW w:w="1664" w:type="dxa"/>
            <w:tcBorders>
              <w:left w:val="single" w:sz="4" w:space="0" w:color="auto"/>
              <w:right w:val="double" w:sz="4" w:space="0" w:color="auto"/>
            </w:tcBorders>
          </w:tcPr>
          <w:p w:rsidR="00B0547E" w:rsidRPr="00D97E40" w:rsidRDefault="00B0547E" w:rsidP="00E06801">
            <w:pPr>
              <w:jc w:val="center"/>
            </w:pPr>
            <w:r w:rsidRPr="00D97E40">
              <w:t>199</w:t>
            </w:r>
          </w:p>
        </w:tc>
        <w:tc>
          <w:tcPr>
            <w:tcW w:w="898" w:type="dxa"/>
            <w:tcBorders>
              <w:left w:val="double" w:sz="4" w:space="0" w:color="auto"/>
              <w:right w:val="double" w:sz="4" w:space="0" w:color="auto"/>
            </w:tcBorders>
          </w:tcPr>
          <w:p w:rsidR="00B0547E" w:rsidRPr="00D97E40" w:rsidRDefault="00B0547E" w:rsidP="00E06801">
            <w:pPr>
              <w:jc w:val="center"/>
            </w:pPr>
            <w:r w:rsidRPr="00D97E40">
              <w:t>66%</w:t>
            </w:r>
          </w:p>
        </w:tc>
        <w:tc>
          <w:tcPr>
            <w:tcW w:w="2058" w:type="dxa"/>
            <w:tcBorders>
              <w:left w:val="double" w:sz="4" w:space="0" w:color="auto"/>
            </w:tcBorders>
          </w:tcPr>
          <w:p w:rsidR="00B0547E" w:rsidRPr="00D97E40" w:rsidRDefault="00B0547E" w:rsidP="00E06801">
            <w:pPr>
              <w:jc w:val="center"/>
            </w:pPr>
            <w:r w:rsidRPr="00D97E40">
              <w:t>214</w:t>
            </w:r>
          </w:p>
        </w:tc>
        <w:tc>
          <w:tcPr>
            <w:tcW w:w="2041" w:type="dxa"/>
            <w:tcBorders>
              <w:right w:val="double" w:sz="4" w:space="0" w:color="auto"/>
            </w:tcBorders>
          </w:tcPr>
          <w:p w:rsidR="00B0547E" w:rsidRPr="00D97E40" w:rsidRDefault="00B0547E" w:rsidP="00E06801">
            <w:pPr>
              <w:jc w:val="center"/>
            </w:pPr>
            <w:r w:rsidRPr="00D97E40">
              <w:t xml:space="preserve">88    </w:t>
            </w:r>
          </w:p>
        </w:tc>
        <w:tc>
          <w:tcPr>
            <w:tcW w:w="671" w:type="dxa"/>
            <w:tcBorders>
              <w:left w:val="double" w:sz="4" w:space="0" w:color="auto"/>
            </w:tcBorders>
          </w:tcPr>
          <w:p w:rsidR="00B0547E" w:rsidRPr="00D97E40" w:rsidRDefault="00B0547E" w:rsidP="00E06801">
            <w:pPr>
              <w:jc w:val="center"/>
            </w:pPr>
            <w:r w:rsidRPr="00D97E40">
              <w:t>41%</w:t>
            </w:r>
          </w:p>
        </w:tc>
      </w:tr>
      <w:tr w:rsidR="00297128" w:rsidRPr="00A700AB" w:rsidTr="00FB0F1F">
        <w:tc>
          <w:tcPr>
            <w:tcW w:w="1771" w:type="dxa"/>
            <w:tcBorders>
              <w:right w:val="double" w:sz="4" w:space="0" w:color="auto"/>
            </w:tcBorders>
          </w:tcPr>
          <w:p w:rsidR="00B0547E" w:rsidRPr="00D97E40" w:rsidRDefault="00B0547E" w:rsidP="00BB3EA3">
            <w:r w:rsidRPr="00D97E40">
              <w:t>June 2018</w:t>
            </w:r>
          </w:p>
        </w:tc>
        <w:tc>
          <w:tcPr>
            <w:tcW w:w="1697" w:type="dxa"/>
            <w:tcBorders>
              <w:right w:val="single" w:sz="4" w:space="0" w:color="auto"/>
            </w:tcBorders>
          </w:tcPr>
          <w:p w:rsidR="00B0547E" w:rsidRPr="00D97E40" w:rsidRDefault="00B0547E" w:rsidP="00E06801">
            <w:pPr>
              <w:jc w:val="center"/>
            </w:pPr>
            <w:r w:rsidRPr="00D97E40">
              <w:t>321</w:t>
            </w:r>
          </w:p>
        </w:tc>
        <w:tc>
          <w:tcPr>
            <w:tcW w:w="1664" w:type="dxa"/>
            <w:tcBorders>
              <w:left w:val="single" w:sz="4" w:space="0" w:color="auto"/>
              <w:right w:val="double" w:sz="4" w:space="0" w:color="auto"/>
            </w:tcBorders>
          </w:tcPr>
          <w:p w:rsidR="00B0547E" w:rsidRPr="00D97E40" w:rsidRDefault="00B0547E" w:rsidP="00E06801">
            <w:pPr>
              <w:jc w:val="center"/>
            </w:pPr>
            <w:r w:rsidRPr="00D97E40">
              <w:t>228</w:t>
            </w:r>
          </w:p>
        </w:tc>
        <w:tc>
          <w:tcPr>
            <w:tcW w:w="898" w:type="dxa"/>
            <w:tcBorders>
              <w:left w:val="double" w:sz="4" w:space="0" w:color="auto"/>
              <w:right w:val="double" w:sz="4" w:space="0" w:color="auto"/>
            </w:tcBorders>
          </w:tcPr>
          <w:p w:rsidR="00B0547E" w:rsidRPr="00D97E40" w:rsidRDefault="00B0547E" w:rsidP="00E06801">
            <w:pPr>
              <w:jc w:val="center"/>
            </w:pPr>
            <w:r w:rsidRPr="00D97E40">
              <w:t>71%</w:t>
            </w:r>
          </w:p>
        </w:tc>
        <w:tc>
          <w:tcPr>
            <w:tcW w:w="2058" w:type="dxa"/>
            <w:tcBorders>
              <w:left w:val="double" w:sz="4" w:space="0" w:color="auto"/>
            </w:tcBorders>
          </w:tcPr>
          <w:p w:rsidR="00B0547E" w:rsidRPr="00D97E40" w:rsidRDefault="00B0547E" w:rsidP="00E06801">
            <w:pPr>
              <w:jc w:val="center"/>
            </w:pPr>
            <w:r w:rsidRPr="00D97E40">
              <w:t>296</w:t>
            </w:r>
          </w:p>
        </w:tc>
        <w:tc>
          <w:tcPr>
            <w:tcW w:w="2041" w:type="dxa"/>
            <w:tcBorders>
              <w:right w:val="double" w:sz="4" w:space="0" w:color="auto"/>
            </w:tcBorders>
          </w:tcPr>
          <w:p w:rsidR="00B0547E" w:rsidRPr="00D97E40" w:rsidRDefault="00B0547E" w:rsidP="00E06801">
            <w:pPr>
              <w:jc w:val="center"/>
            </w:pPr>
            <w:r w:rsidRPr="00D97E40">
              <w:t xml:space="preserve"> 97    </w:t>
            </w:r>
          </w:p>
        </w:tc>
        <w:tc>
          <w:tcPr>
            <w:tcW w:w="671" w:type="dxa"/>
            <w:tcBorders>
              <w:left w:val="double" w:sz="4" w:space="0" w:color="auto"/>
            </w:tcBorders>
          </w:tcPr>
          <w:p w:rsidR="00B0547E" w:rsidRPr="00D97E40" w:rsidRDefault="00FB0F1F" w:rsidP="00E06801">
            <w:pPr>
              <w:jc w:val="center"/>
            </w:pPr>
            <w:r w:rsidRPr="00D97E40">
              <w:t>33%</w:t>
            </w:r>
          </w:p>
        </w:tc>
      </w:tr>
      <w:tr w:rsidR="00297128" w:rsidRPr="00A700AB" w:rsidTr="00FB0F1F">
        <w:tc>
          <w:tcPr>
            <w:tcW w:w="1771" w:type="dxa"/>
            <w:tcBorders>
              <w:right w:val="double" w:sz="4" w:space="0" w:color="auto"/>
            </w:tcBorders>
          </w:tcPr>
          <w:p w:rsidR="00B0547E" w:rsidRPr="00D97E40" w:rsidRDefault="00B0547E" w:rsidP="00BB3EA3"/>
        </w:tc>
        <w:tc>
          <w:tcPr>
            <w:tcW w:w="1697" w:type="dxa"/>
            <w:tcBorders>
              <w:right w:val="single" w:sz="4" w:space="0" w:color="auto"/>
            </w:tcBorders>
          </w:tcPr>
          <w:p w:rsidR="00B0547E" w:rsidRPr="00D97E40" w:rsidRDefault="00B0547E" w:rsidP="00E06801">
            <w:pPr>
              <w:jc w:val="center"/>
            </w:pPr>
          </w:p>
        </w:tc>
        <w:tc>
          <w:tcPr>
            <w:tcW w:w="1664" w:type="dxa"/>
            <w:tcBorders>
              <w:left w:val="single" w:sz="4" w:space="0" w:color="auto"/>
              <w:right w:val="double" w:sz="4" w:space="0" w:color="auto"/>
            </w:tcBorders>
          </w:tcPr>
          <w:p w:rsidR="00B0547E" w:rsidRPr="00D97E40" w:rsidRDefault="00B0547E" w:rsidP="00E06801">
            <w:pPr>
              <w:jc w:val="center"/>
            </w:pPr>
          </w:p>
        </w:tc>
        <w:tc>
          <w:tcPr>
            <w:tcW w:w="898" w:type="dxa"/>
            <w:tcBorders>
              <w:left w:val="double" w:sz="4" w:space="0" w:color="auto"/>
              <w:right w:val="double" w:sz="4" w:space="0" w:color="auto"/>
            </w:tcBorders>
          </w:tcPr>
          <w:p w:rsidR="00B0547E" w:rsidRPr="00D97E40" w:rsidRDefault="00B0547E" w:rsidP="00E06801">
            <w:pPr>
              <w:jc w:val="center"/>
            </w:pPr>
          </w:p>
        </w:tc>
        <w:tc>
          <w:tcPr>
            <w:tcW w:w="2058" w:type="dxa"/>
            <w:tcBorders>
              <w:left w:val="double" w:sz="4" w:space="0" w:color="auto"/>
            </w:tcBorders>
          </w:tcPr>
          <w:p w:rsidR="00B0547E" w:rsidRPr="00D97E40" w:rsidRDefault="00B0547E" w:rsidP="00E06801">
            <w:pPr>
              <w:jc w:val="center"/>
            </w:pPr>
          </w:p>
        </w:tc>
        <w:tc>
          <w:tcPr>
            <w:tcW w:w="2041" w:type="dxa"/>
            <w:tcBorders>
              <w:right w:val="double" w:sz="4" w:space="0" w:color="auto"/>
            </w:tcBorders>
          </w:tcPr>
          <w:p w:rsidR="00B0547E" w:rsidRPr="00D97E40" w:rsidRDefault="00B0547E" w:rsidP="00E06801">
            <w:pPr>
              <w:jc w:val="center"/>
            </w:pPr>
          </w:p>
        </w:tc>
        <w:tc>
          <w:tcPr>
            <w:tcW w:w="671" w:type="dxa"/>
            <w:tcBorders>
              <w:left w:val="double" w:sz="4" w:space="0" w:color="auto"/>
            </w:tcBorders>
          </w:tcPr>
          <w:p w:rsidR="00B0547E" w:rsidRPr="00D97E40" w:rsidRDefault="00B0547E" w:rsidP="00E06801">
            <w:pPr>
              <w:jc w:val="center"/>
            </w:pPr>
          </w:p>
        </w:tc>
      </w:tr>
      <w:tr w:rsidR="00297128" w:rsidRPr="00A700AB" w:rsidTr="00FB0F1F">
        <w:tc>
          <w:tcPr>
            <w:tcW w:w="1771" w:type="dxa"/>
            <w:tcBorders>
              <w:right w:val="double" w:sz="4" w:space="0" w:color="auto"/>
            </w:tcBorders>
          </w:tcPr>
          <w:p w:rsidR="00B0547E" w:rsidRPr="00D97E40" w:rsidRDefault="00B0547E" w:rsidP="00BB3EA3">
            <w:r w:rsidRPr="00D97E40">
              <w:t>Total</w:t>
            </w:r>
          </w:p>
        </w:tc>
        <w:tc>
          <w:tcPr>
            <w:tcW w:w="1697" w:type="dxa"/>
            <w:tcBorders>
              <w:right w:val="single" w:sz="4" w:space="0" w:color="auto"/>
            </w:tcBorders>
          </w:tcPr>
          <w:p w:rsidR="00B0547E" w:rsidRPr="00D97E40" w:rsidRDefault="00B0547E" w:rsidP="00E06801">
            <w:pPr>
              <w:jc w:val="center"/>
            </w:pPr>
            <w:r w:rsidRPr="00D97E40">
              <w:t>2374</w:t>
            </w:r>
          </w:p>
        </w:tc>
        <w:tc>
          <w:tcPr>
            <w:tcW w:w="1664" w:type="dxa"/>
            <w:tcBorders>
              <w:left w:val="single" w:sz="4" w:space="0" w:color="auto"/>
              <w:right w:val="double" w:sz="4" w:space="0" w:color="auto"/>
            </w:tcBorders>
          </w:tcPr>
          <w:p w:rsidR="00B0547E" w:rsidRPr="00D97E40" w:rsidRDefault="00B0547E" w:rsidP="00E06801">
            <w:pPr>
              <w:jc w:val="center"/>
            </w:pPr>
            <w:r w:rsidRPr="00D97E40">
              <w:t>1,422</w:t>
            </w:r>
          </w:p>
        </w:tc>
        <w:tc>
          <w:tcPr>
            <w:tcW w:w="898" w:type="dxa"/>
            <w:tcBorders>
              <w:left w:val="double" w:sz="4" w:space="0" w:color="auto"/>
              <w:right w:val="double" w:sz="4" w:space="0" w:color="auto"/>
            </w:tcBorders>
          </w:tcPr>
          <w:p w:rsidR="00B0547E" w:rsidRPr="00D97E40" w:rsidRDefault="00B0547E" w:rsidP="00E06801">
            <w:pPr>
              <w:jc w:val="center"/>
            </w:pPr>
            <w:r w:rsidRPr="00D97E40">
              <w:t>60%</w:t>
            </w:r>
          </w:p>
        </w:tc>
        <w:tc>
          <w:tcPr>
            <w:tcW w:w="2058" w:type="dxa"/>
            <w:tcBorders>
              <w:left w:val="double" w:sz="4" w:space="0" w:color="auto"/>
            </w:tcBorders>
          </w:tcPr>
          <w:p w:rsidR="00B0547E" w:rsidRPr="00D97E40" w:rsidRDefault="00B0547E" w:rsidP="00E06801">
            <w:pPr>
              <w:jc w:val="center"/>
            </w:pPr>
            <w:r w:rsidRPr="00D97E40">
              <w:t>1,343</w:t>
            </w:r>
          </w:p>
        </w:tc>
        <w:tc>
          <w:tcPr>
            <w:tcW w:w="2041" w:type="dxa"/>
            <w:tcBorders>
              <w:right w:val="double" w:sz="4" w:space="0" w:color="auto"/>
            </w:tcBorders>
          </w:tcPr>
          <w:p w:rsidR="00B0547E" w:rsidRPr="00D97E40" w:rsidRDefault="00B0547E" w:rsidP="00E06801">
            <w:pPr>
              <w:jc w:val="center"/>
            </w:pPr>
            <w:r w:rsidRPr="00D97E40">
              <w:t>385</w:t>
            </w:r>
          </w:p>
        </w:tc>
        <w:tc>
          <w:tcPr>
            <w:tcW w:w="671" w:type="dxa"/>
            <w:tcBorders>
              <w:left w:val="double" w:sz="4" w:space="0" w:color="auto"/>
            </w:tcBorders>
          </w:tcPr>
          <w:p w:rsidR="00B0547E" w:rsidRPr="00D97E40" w:rsidRDefault="00FB0F1F" w:rsidP="00E06801">
            <w:pPr>
              <w:jc w:val="center"/>
            </w:pPr>
            <w:r w:rsidRPr="00D97E40">
              <w:t>29%</w:t>
            </w:r>
          </w:p>
        </w:tc>
      </w:tr>
    </w:tbl>
    <w:p w:rsidR="00AF3B57" w:rsidRPr="00D97E40" w:rsidRDefault="00297128" w:rsidP="00297128">
      <w:r w:rsidRPr="00D97E40">
        <w:t>*</w:t>
      </w:r>
      <w:r w:rsidR="00075921" w:rsidRPr="00D97E40">
        <w:t>Approached includes all attempts to conduct a Resident Review</w:t>
      </w:r>
    </w:p>
    <w:p w:rsidR="006D5E29" w:rsidRPr="00572410" w:rsidRDefault="006D5E29" w:rsidP="00572410"/>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QPs conducting evaluations will engage residents who express concerns about leaving the IMD with appropriate frequency.</w:t>
      </w:r>
    </w:p>
    <w:p w:rsidR="00C873DB" w:rsidRDefault="007C127E"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C05E79">
        <w:t xml:space="preserve">The </w:t>
      </w:r>
      <w:r w:rsidR="00C60742" w:rsidRPr="00C05E79">
        <w:t xml:space="preserve">DMH contracted </w:t>
      </w:r>
      <w:r w:rsidRPr="00C05E79">
        <w:t xml:space="preserve">Williams Resident Review </w:t>
      </w:r>
      <w:r w:rsidR="00C60742" w:rsidRPr="00C05E79">
        <w:t>agencies</w:t>
      </w:r>
      <w:r w:rsidRPr="00C05E79">
        <w:t xml:space="preserve">, Lutheran Social Services of Illinois (LSSI) and Metropolitan Family Services (MFS), each have </w:t>
      </w:r>
      <w:r w:rsidR="00CF2D76">
        <w:t>in employment</w:t>
      </w:r>
      <w:r w:rsidR="00C449A1" w:rsidRPr="00C05E79">
        <w:t xml:space="preserve"> </w:t>
      </w:r>
      <w:r w:rsidRPr="00C05E79">
        <w:t xml:space="preserve">seven </w:t>
      </w:r>
      <w:r w:rsidR="00C449A1" w:rsidRPr="00C05E79">
        <w:t xml:space="preserve">full time, </w:t>
      </w:r>
      <w:r w:rsidRPr="00C05E79">
        <w:t>licensed</w:t>
      </w:r>
      <w:r w:rsidR="00C60742" w:rsidRPr="00C05E79">
        <w:t xml:space="preserve"> </w:t>
      </w:r>
      <w:r w:rsidRPr="00C05E79">
        <w:t>clinicians to conduct Resident Review assessments</w:t>
      </w:r>
      <w:r w:rsidR="00C64F50">
        <w:t>.</w:t>
      </w:r>
      <w:r w:rsidR="00C60742" w:rsidRPr="00C05E79">
        <w:t xml:space="preserve">  The initial Resident Review is</w:t>
      </w:r>
      <w:r w:rsidRPr="00C05E79">
        <w:t xml:space="preserve"> </w:t>
      </w:r>
      <w:r w:rsidR="00C449A1" w:rsidRPr="00C05E79">
        <w:t>initiated</w:t>
      </w:r>
      <w:r w:rsidRPr="00C05E79">
        <w:t xml:space="preserve"> </w:t>
      </w:r>
      <w:r w:rsidR="00C60742" w:rsidRPr="00C05E79">
        <w:t xml:space="preserve">within 60 days of admission.   Each reviewer is trained to engage Class Members who have </w:t>
      </w:r>
      <w:r w:rsidR="00C449A1" w:rsidRPr="00C05E79">
        <w:t>concerns</w:t>
      </w:r>
      <w:r w:rsidR="00C60742" w:rsidRPr="00C05E79">
        <w:t xml:space="preserve"> regarding the transition processes and to answer any </w:t>
      </w:r>
      <w:r w:rsidR="00C449A1" w:rsidRPr="00C05E79">
        <w:t>questions tha</w:t>
      </w:r>
      <w:r w:rsidR="00FE6B14">
        <w:t xml:space="preserve">t may ally fears or anxieties. </w:t>
      </w:r>
      <w:r w:rsidR="00C449A1" w:rsidRPr="00C05E79">
        <w:t>Additionally, Resident Reviewers</w:t>
      </w:r>
      <w:r w:rsidR="00A5705F">
        <w:t>, Qualified Professionals</w:t>
      </w:r>
      <w:r w:rsidR="00C449A1" w:rsidRPr="00C05E79">
        <w:t xml:space="preserve"> </w:t>
      </w:r>
      <w:r w:rsidR="005860A4">
        <w:t>(who are licensed clinicians)</w:t>
      </w:r>
      <w:r w:rsidR="00A5705F">
        <w:t>,</w:t>
      </w:r>
      <w:r w:rsidR="005860A4">
        <w:t xml:space="preserve"> </w:t>
      </w:r>
      <w:r w:rsidR="00C449A1" w:rsidRPr="00C05E79">
        <w:t>are equ</w:t>
      </w:r>
      <w:r w:rsidR="000E0868" w:rsidRPr="00C05E79">
        <w:t xml:space="preserve">ipped with the same informational packages </w:t>
      </w:r>
      <w:r w:rsidR="00C449A1" w:rsidRPr="00C05E79">
        <w:t>(videos, brochures and fliers) used by NAMI Outreach Workers to share</w:t>
      </w:r>
      <w:r w:rsidR="00CF2D76">
        <w:t xml:space="preserve"> and</w:t>
      </w:r>
      <w:r w:rsidR="00C449A1" w:rsidRPr="00C05E79">
        <w:t xml:space="preserve"> discuss </w:t>
      </w:r>
      <w:r w:rsidR="00CF2D76">
        <w:t>with Class Members and answer questions from</w:t>
      </w:r>
      <w:r w:rsidR="00C449A1" w:rsidRPr="00C05E79">
        <w:t xml:space="preserve"> Class Members during the assessment process.  </w:t>
      </w:r>
      <w:r w:rsidR="00C60742" w:rsidRPr="00C05E79">
        <w:t xml:space="preserve">For Class Members who have not transitioned and </w:t>
      </w:r>
      <w:r w:rsidR="00C449A1" w:rsidRPr="00C05E79">
        <w:t xml:space="preserve">who </w:t>
      </w:r>
      <w:r w:rsidR="00C60742" w:rsidRPr="00C05E79">
        <w:t xml:space="preserve">give consent, an </w:t>
      </w:r>
      <w:r w:rsidRPr="00C05E79">
        <w:t>annual</w:t>
      </w:r>
      <w:r w:rsidR="00C60742" w:rsidRPr="00C05E79">
        <w:t xml:space="preserve"> Resid</w:t>
      </w:r>
      <w:r w:rsidR="00FE6B14">
        <w:t xml:space="preserve">ent Review assessment occurs. </w:t>
      </w:r>
      <w:r w:rsidR="00C60742" w:rsidRPr="00C05E79">
        <w:t xml:space="preserve">During this </w:t>
      </w:r>
      <w:r w:rsidR="00C449A1" w:rsidRPr="00C05E79">
        <w:t>six</w:t>
      </w:r>
      <w:r w:rsidR="006E63A4">
        <w:t>-</w:t>
      </w:r>
      <w:r w:rsidR="00C449A1" w:rsidRPr="00C05E79">
        <w:t xml:space="preserve">month </w:t>
      </w:r>
      <w:r w:rsidR="00C60742" w:rsidRPr="00C05E79">
        <w:t xml:space="preserve">reporting period, </w:t>
      </w:r>
      <w:r w:rsidR="006E63A4">
        <w:t>the two</w:t>
      </w:r>
      <w:r w:rsidR="00C60742" w:rsidRPr="00C05E79">
        <w:t xml:space="preserve"> </w:t>
      </w:r>
      <w:r w:rsidR="006A5937" w:rsidRPr="00C05E79">
        <w:t xml:space="preserve">Resident Review </w:t>
      </w:r>
      <w:r w:rsidR="00C60742" w:rsidRPr="00C05E79">
        <w:t xml:space="preserve">agencies </w:t>
      </w:r>
      <w:r w:rsidR="006A5937" w:rsidRPr="00C05E79">
        <w:t>attempte</w:t>
      </w:r>
      <w:r w:rsidR="00C449A1" w:rsidRPr="00C05E79">
        <w:t xml:space="preserve">d </w:t>
      </w:r>
      <w:r w:rsidR="006E63A4">
        <w:t xml:space="preserve">a total of </w:t>
      </w:r>
      <w:r w:rsidR="006A5937" w:rsidRPr="00C64F50">
        <w:t>2,246</w:t>
      </w:r>
      <w:r w:rsidR="006A5937" w:rsidRPr="00C05E79">
        <w:t xml:space="preserve"> contacts</w:t>
      </w:r>
      <w:r w:rsidR="008B01C2" w:rsidRPr="00C05E79">
        <w:t xml:space="preserve"> with Class Member</w:t>
      </w:r>
      <w:r w:rsidR="006E63A4">
        <w:t>s</w:t>
      </w:r>
      <w:r w:rsidR="008B01C2" w:rsidRPr="00C05E79">
        <w:t xml:space="preserve"> </w:t>
      </w:r>
      <w:r w:rsidR="006A5937" w:rsidRPr="00C05E79">
        <w:t xml:space="preserve">(see </w:t>
      </w:r>
      <w:r w:rsidR="00C64F50">
        <w:t>footnote at the bottom of Table H</w:t>
      </w:r>
      <w:r w:rsidR="006A5937" w:rsidRPr="00C64F50">
        <w:t>)</w:t>
      </w:r>
      <w:r w:rsidR="00FE6B14">
        <w:t xml:space="preserve">. </w:t>
      </w:r>
      <w:r w:rsidR="00C449A1" w:rsidRPr="00C64F50">
        <w:t xml:space="preserve">From this effort, </w:t>
      </w:r>
      <w:r w:rsidR="006A5937" w:rsidRPr="00C64F50">
        <w:t>716</w:t>
      </w:r>
      <w:r w:rsidR="00C60742" w:rsidRPr="00C64F50">
        <w:t xml:space="preserve"> </w:t>
      </w:r>
      <w:r w:rsidR="006A5937" w:rsidRPr="00C64F50">
        <w:t>(3</w:t>
      </w:r>
      <w:r w:rsidR="00764C43" w:rsidRPr="00C64F50">
        <w:t>2</w:t>
      </w:r>
      <w:r w:rsidR="006A5937" w:rsidRPr="00C64F50">
        <w:t>%) actual Resident Reviews were completed</w:t>
      </w:r>
      <w:r w:rsidR="00FE6B14">
        <w:t xml:space="preserve">. </w:t>
      </w:r>
      <w:r w:rsidR="006A5937" w:rsidRPr="00C64F50">
        <w:t>O</w:t>
      </w:r>
      <w:r w:rsidR="00C449A1" w:rsidRPr="00C64F50">
        <w:t xml:space="preserve">f those </w:t>
      </w:r>
      <w:r w:rsidR="006A5937" w:rsidRPr="00C64F50">
        <w:t xml:space="preserve">Resident </w:t>
      </w:r>
      <w:r w:rsidR="00C449A1" w:rsidRPr="00C64F50">
        <w:t>Review</w:t>
      </w:r>
      <w:r w:rsidR="006A5937" w:rsidRPr="00C64F50">
        <w:t xml:space="preserve"> assessment</w:t>
      </w:r>
      <w:r w:rsidR="008B01C2" w:rsidRPr="00C64F50">
        <w:t>s</w:t>
      </w:r>
      <w:r w:rsidR="006A5937" w:rsidRPr="00C64F50">
        <w:t xml:space="preserve"> </w:t>
      </w:r>
      <w:r w:rsidR="00C449A1" w:rsidRPr="00C64F50">
        <w:t>completed</w:t>
      </w:r>
      <w:r w:rsidR="008B01C2" w:rsidRPr="00C64F50">
        <w:t>,</w:t>
      </w:r>
      <w:r w:rsidR="006A5937" w:rsidRPr="00C64F50">
        <w:t xml:space="preserve"> 6</w:t>
      </w:r>
      <w:r w:rsidR="00764C43" w:rsidRPr="00C64F50">
        <w:t>79</w:t>
      </w:r>
      <w:r w:rsidR="006A5937" w:rsidRPr="00C64F50">
        <w:t xml:space="preserve"> (9</w:t>
      </w:r>
      <w:r w:rsidR="00C64F50">
        <w:t>5</w:t>
      </w:r>
      <w:r w:rsidR="006A5937" w:rsidRPr="00C64F50">
        <w:t xml:space="preserve">%) </w:t>
      </w:r>
      <w:r w:rsidR="00C449A1" w:rsidRPr="00C64F50">
        <w:t xml:space="preserve">were assigned to one of the Williams </w:t>
      </w:r>
      <w:r w:rsidR="006E63A4">
        <w:t>CMHCs</w:t>
      </w:r>
      <w:r w:rsidR="00C449A1" w:rsidRPr="00C64F50">
        <w:t xml:space="preserve"> </w:t>
      </w:r>
      <w:r w:rsidR="008B01C2" w:rsidRPr="00C64F50">
        <w:t>to begin</w:t>
      </w:r>
      <w:r w:rsidR="00FE6B14">
        <w:t xml:space="preserve"> tr</w:t>
      </w:r>
      <w:r w:rsidR="0097211B">
        <w:t>ansition activities.</w:t>
      </w:r>
      <w:r w:rsidR="008B01C2" w:rsidRPr="00C64F50">
        <w:t xml:space="preserve">153 (21%) </w:t>
      </w:r>
      <w:r w:rsidR="00C449A1" w:rsidRPr="00C64F50">
        <w:t>Resident Reviews were not recommended for transition activities</w:t>
      </w:r>
      <w:r w:rsidR="00764C43" w:rsidRPr="00C64F50">
        <w:t>/denied</w:t>
      </w:r>
      <w:r w:rsidR="00C449A1" w:rsidRPr="00C64F50">
        <w:t xml:space="preserve"> </w:t>
      </w:r>
      <w:r w:rsidR="008B01C2" w:rsidRPr="00C64F50">
        <w:t xml:space="preserve">(at this time) </w:t>
      </w:r>
      <w:r w:rsidR="00C449A1" w:rsidRPr="00C64F50">
        <w:t xml:space="preserve">and were </w:t>
      </w:r>
      <w:r w:rsidR="008B01C2" w:rsidRPr="00C64F50">
        <w:t>redirected to</w:t>
      </w:r>
      <w:r w:rsidR="00C449A1" w:rsidRPr="00C64F50">
        <w:t xml:space="preserve"> </w:t>
      </w:r>
      <w:r w:rsidR="000E0868" w:rsidRPr="00C64F50">
        <w:t>a</w:t>
      </w:r>
      <w:r w:rsidR="00C449A1" w:rsidRPr="00C64F50">
        <w:t xml:space="preserve"> Clinical Review</w:t>
      </w:r>
      <w:r w:rsidR="000E0868" w:rsidRPr="00C64F50">
        <w:t xml:space="preserve"> Team</w:t>
      </w:r>
      <w:r w:rsidR="008B01C2" w:rsidRPr="00C64F50">
        <w:t xml:space="preserve"> (CRT) process</w:t>
      </w:r>
      <w:r w:rsidR="00C64F50">
        <w:t>.</w:t>
      </w:r>
      <w:r w:rsidR="00C449A1" w:rsidRPr="00C05E79">
        <w:t xml:space="preserve"> </w:t>
      </w:r>
      <w:r w:rsidR="000E0868" w:rsidRPr="00C05E79">
        <w:t xml:space="preserve"> </w:t>
      </w:r>
      <w:r w:rsidR="00CF2D76" w:rsidRPr="004065A2">
        <w:t>T</w:t>
      </w:r>
      <w:r w:rsidR="000E0868" w:rsidRPr="004065A2">
        <w:t>able</w:t>
      </w:r>
      <w:r w:rsidR="00CF2D76" w:rsidRPr="004065A2">
        <w:t>s H and I</w:t>
      </w:r>
      <w:r w:rsidR="000E0868" w:rsidRPr="004065A2">
        <w:t xml:space="preserve"> reflect</w:t>
      </w:r>
      <w:r w:rsidR="008B01C2" w:rsidRPr="004065A2">
        <w:t xml:space="preserve"> a</w:t>
      </w:r>
      <w:r w:rsidR="000E0868" w:rsidRPr="004065A2">
        <w:t xml:space="preserve"> comparison of </w:t>
      </w:r>
      <w:r w:rsidR="008B01C2" w:rsidRPr="004065A2">
        <w:t xml:space="preserve">Resident Review </w:t>
      </w:r>
      <w:r w:rsidR="000E0868" w:rsidRPr="004065A2">
        <w:t xml:space="preserve">data for the full twelve months of FY18 </w:t>
      </w:r>
      <w:r w:rsidR="008B01C2" w:rsidRPr="004065A2">
        <w:t>with</w:t>
      </w:r>
      <w:r w:rsidR="000E0868" w:rsidRPr="004065A2">
        <w:t xml:space="preserve"> the last six months of this reporting period</w:t>
      </w:r>
      <w:r w:rsidR="0097211B">
        <w:t xml:space="preserve">. </w:t>
      </w:r>
      <w:r w:rsidR="006A5937" w:rsidRPr="004065A2">
        <w:t xml:space="preserve">Table </w:t>
      </w:r>
      <w:r w:rsidR="00CF2D76" w:rsidRPr="004065A2">
        <w:t>J</w:t>
      </w:r>
      <w:r w:rsidR="00C64F50">
        <w:t xml:space="preserve"> </w:t>
      </w:r>
      <w:r w:rsidR="008B01C2" w:rsidRPr="004065A2">
        <w:t>reflect</w:t>
      </w:r>
      <w:r w:rsidR="002906E2" w:rsidRPr="004065A2">
        <w:t>s</w:t>
      </w:r>
      <w:r w:rsidR="008B01C2" w:rsidRPr="004065A2">
        <w:t xml:space="preserve"> Williams agenc</w:t>
      </w:r>
      <w:r w:rsidR="00C64F50">
        <w:t>ies’</w:t>
      </w:r>
      <w:r w:rsidR="008B01C2" w:rsidRPr="004065A2">
        <w:t xml:space="preserve"> assignment</w:t>
      </w:r>
      <w:r w:rsidR="00C64F50">
        <w:t>s</w:t>
      </w:r>
      <w:r w:rsidR="008B01C2" w:rsidRPr="004065A2">
        <w:t xml:space="preserve"> for transition activity vs. referr</w:t>
      </w:r>
      <w:r w:rsidR="00F02A70">
        <w:t>al</w:t>
      </w:r>
      <w:r w:rsidR="008B01C2" w:rsidRPr="004065A2">
        <w:t xml:space="preserve"> to </w:t>
      </w:r>
      <w:r w:rsidR="00F02A70">
        <w:t>the Clinical Review Teams</w:t>
      </w:r>
      <w:r w:rsidR="008339B3" w:rsidRPr="004065A2">
        <w:t xml:space="preserve">. </w:t>
      </w:r>
      <w:r w:rsidR="00764C43" w:rsidRPr="00C05E79">
        <w:t xml:space="preserve">  NAMI Outreach Workers have also proven to be beneficial in redirecting attention to the benefit of </w:t>
      </w:r>
      <w:r w:rsidR="00F02A70">
        <w:t>a</w:t>
      </w:r>
      <w:r w:rsidR="00764C43" w:rsidRPr="00C05E79">
        <w:t xml:space="preserve"> Resident Review assessment for Class Members who may have initially been reluctant </w:t>
      </w:r>
      <w:r w:rsidR="00F02A70">
        <w:t xml:space="preserve">to </w:t>
      </w:r>
      <w:r w:rsidR="00764C43" w:rsidRPr="00C05E79">
        <w:t>con</w:t>
      </w:r>
      <w:r w:rsidR="00FE6B14">
        <w:t xml:space="preserve">sider transition as an option. </w:t>
      </w:r>
      <w:r w:rsidR="00764C43" w:rsidRPr="00C05E79">
        <w:t xml:space="preserve">During this reporting period, NAMI requested Resident Review assessments </w:t>
      </w:r>
      <w:r w:rsidR="00F02A70">
        <w:t xml:space="preserve">for </w:t>
      </w:r>
      <w:r w:rsidR="00764C43" w:rsidRPr="00C05E79">
        <w:t xml:space="preserve">306 Class Members.   </w:t>
      </w:r>
      <w:r w:rsidR="00CC421E">
        <w:t>Class Members who have concerns about transition are constantly re-engaged by Outreach Workers, Ambassadors and the Resident Reviewers</w:t>
      </w:r>
      <w:r w:rsidR="00A7423A">
        <w:t xml:space="preserve"> through targeted efforts to encourage participation in the transition process.</w:t>
      </w:r>
      <w:r w:rsidR="00CC421E">
        <w:t xml:space="preserve">  </w:t>
      </w:r>
      <w:r w:rsidR="00ED1F3D">
        <w:t>This is the design and major focus of</w:t>
      </w:r>
      <w:r w:rsidR="004B6103">
        <w:t xml:space="preserve"> Williams’</w:t>
      </w:r>
      <w:r w:rsidR="00ED1F3D">
        <w:t xml:space="preserve"> implementation. </w:t>
      </w:r>
      <w:r w:rsidR="00CC421E">
        <w:t xml:space="preserve">The role of Outreach Workers and Ambassadors </w:t>
      </w:r>
      <w:r w:rsidR="00ED1F3D">
        <w:t>is to be</w:t>
      </w:r>
      <w:r w:rsidR="00CC421E">
        <w:t xml:space="preserve"> the direct conduit to reach those Class Members who express ambivalence</w:t>
      </w:r>
      <w:r w:rsidR="00ED1F3D">
        <w:t xml:space="preserve">, and </w:t>
      </w:r>
      <w:r w:rsidR="00277C07">
        <w:t xml:space="preserve">this role </w:t>
      </w:r>
      <w:r w:rsidR="00ED1F3D">
        <w:t>has been continuously expanded</w:t>
      </w:r>
      <w:r w:rsidR="00CC421E">
        <w:t xml:space="preserve">.   However, each agent </w:t>
      </w:r>
      <w:r w:rsidR="005860A4">
        <w:t xml:space="preserve">is </w:t>
      </w:r>
      <w:r w:rsidR="00CC421E">
        <w:t>respect</w:t>
      </w:r>
      <w:r w:rsidR="005860A4">
        <w:t>ful</w:t>
      </w:r>
      <w:r w:rsidR="00CC421E">
        <w:t xml:space="preserve"> </w:t>
      </w:r>
      <w:r w:rsidR="00277C07">
        <w:t xml:space="preserve">of </w:t>
      </w:r>
      <w:r w:rsidR="00CC421E">
        <w:t xml:space="preserve">the Class Member’s rights of determination and it is </w:t>
      </w:r>
      <w:r w:rsidR="00A7423A">
        <w:t xml:space="preserve">the </w:t>
      </w:r>
      <w:r w:rsidR="00CC421E">
        <w:t xml:space="preserve">policy not to harass or coerce a Class Member </w:t>
      </w:r>
      <w:r w:rsidR="00ED1F3D">
        <w:t>if it</w:t>
      </w:r>
      <w:r w:rsidR="00277C07">
        <w:t xml:space="preserve"> is</w:t>
      </w:r>
      <w:r w:rsidR="00ED1F3D">
        <w:t xml:space="preserve"> not their desire, at the given time. </w:t>
      </w:r>
      <w:r w:rsidR="009846DC">
        <w:t>Data is not currently available that reflects the success rate of repeated contacts with CM who have refused transition outreach and/or Resident Review.</w:t>
      </w:r>
    </w:p>
    <w:p w:rsidR="007E34A1" w:rsidRPr="005860A4" w:rsidRDefault="008339B3"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sz w:val="18"/>
          <w:szCs w:val="18"/>
        </w:rPr>
      </w:pPr>
      <w:r w:rsidRPr="00D97E40">
        <w:rPr>
          <w:b/>
          <w:sz w:val="24"/>
          <w:szCs w:val="24"/>
        </w:rPr>
        <w:t>Table</w:t>
      </w:r>
      <w:r w:rsidR="007E34A1" w:rsidRPr="00D97E40">
        <w:rPr>
          <w:b/>
          <w:sz w:val="24"/>
          <w:szCs w:val="24"/>
        </w:rPr>
        <w:t xml:space="preserve"> H</w:t>
      </w:r>
      <w:r w:rsidR="0026734F">
        <w:rPr>
          <w:sz w:val="24"/>
          <w:szCs w:val="24"/>
        </w:rPr>
        <w:t xml:space="preserve"> </w:t>
      </w:r>
      <w:r w:rsidR="00C873DB">
        <w:rPr>
          <w:noProof/>
          <w:sz w:val="24"/>
          <w:szCs w:val="24"/>
        </w:rPr>
        <w:drawing>
          <wp:inline distT="0" distB="0" distL="0" distR="0" wp14:anchorId="7533C3B6" wp14:editId="5DE814DA">
            <wp:extent cx="6841725" cy="483115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R.png"/>
                    <pic:cNvPicPr/>
                  </pic:nvPicPr>
                  <pic:blipFill>
                    <a:blip r:embed="rId16"/>
                    <a:stretch>
                      <a:fillRect/>
                    </a:stretch>
                  </pic:blipFill>
                  <pic:spPr>
                    <a:xfrm>
                      <a:off x="0" y="0"/>
                      <a:ext cx="6841725" cy="4831154"/>
                    </a:xfrm>
                    <a:prstGeom prst="rect">
                      <a:avLst/>
                    </a:prstGeom>
                  </pic:spPr>
                </pic:pic>
              </a:graphicData>
            </a:graphic>
          </wp:inline>
        </w:drawing>
      </w:r>
      <w:r w:rsidR="00226120">
        <w:rPr>
          <w:sz w:val="24"/>
          <w:szCs w:val="24"/>
        </w:rPr>
        <w:tab/>
      </w:r>
      <w:r w:rsidR="00226120">
        <w:rPr>
          <w:sz w:val="24"/>
          <w:szCs w:val="24"/>
        </w:rPr>
        <w:tab/>
      </w:r>
      <w:r w:rsidR="00226120">
        <w:rPr>
          <w:sz w:val="24"/>
          <w:szCs w:val="24"/>
        </w:rPr>
        <w:tab/>
      </w:r>
      <w:r w:rsidR="00226120">
        <w:rPr>
          <w:sz w:val="24"/>
          <w:szCs w:val="24"/>
        </w:rPr>
        <w:tab/>
      </w:r>
      <w:r w:rsidR="00226120">
        <w:rPr>
          <w:sz w:val="24"/>
          <w:szCs w:val="24"/>
        </w:rPr>
        <w:tab/>
      </w:r>
      <w:r w:rsidR="00226120">
        <w:rPr>
          <w:sz w:val="24"/>
          <w:szCs w:val="24"/>
        </w:rPr>
        <w:tab/>
      </w:r>
      <w:r w:rsidR="00226120">
        <w:rPr>
          <w:sz w:val="24"/>
          <w:szCs w:val="24"/>
        </w:rPr>
        <w:tab/>
      </w:r>
      <w:r w:rsidR="00226120">
        <w:rPr>
          <w:sz w:val="24"/>
          <w:szCs w:val="24"/>
        </w:rPr>
        <w:tab/>
      </w:r>
      <w:r w:rsidR="00226120">
        <w:rPr>
          <w:sz w:val="24"/>
          <w:szCs w:val="24"/>
        </w:rPr>
        <w:tab/>
      </w:r>
      <w:r w:rsidR="00226120">
        <w:rPr>
          <w:sz w:val="24"/>
          <w:szCs w:val="24"/>
        </w:rPr>
        <w:tab/>
      </w:r>
      <w:r w:rsidR="00226120">
        <w:rPr>
          <w:noProof/>
          <w:sz w:val="24"/>
          <w:szCs w:val="24"/>
        </w:rPr>
        <w:drawing>
          <wp:inline distT="0" distB="0" distL="0" distR="0" wp14:anchorId="2B74E176" wp14:editId="3DFA45C8">
            <wp:extent cx="7789587" cy="40087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T_FY18_RP.png"/>
                    <pic:cNvPicPr/>
                  </pic:nvPicPr>
                  <pic:blipFill>
                    <a:blip r:embed="rId17"/>
                    <a:stretch>
                      <a:fillRect/>
                    </a:stretch>
                  </pic:blipFill>
                  <pic:spPr>
                    <a:xfrm>
                      <a:off x="0" y="0"/>
                      <a:ext cx="7789587" cy="4008755"/>
                    </a:xfrm>
                    <a:prstGeom prst="rect">
                      <a:avLst/>
                    </a:prstGeom>
                  </pic:spPr>
                </pic:pic>
              </a:graphicData>
            </a:graphic>
          </wp:inline>
        </w:drawing>
      </w:r>
    </w:p>
    <w:p w:rsidR="00C873DB" w:rsidRPr="007E34A1" w:rsidRDefault="008246CF" w:rsidP="007E34A1">
      <w:pPr>
        <w:rPr>
          <w:b/>
          <w:sz w:val="24"/>
          <w:szCs w:val="24"/>
        </w:rPr>
      </w:pPr>
      <w:r>
        <w:rPr>
          <w:b/>
          <w:sz w:val="24"/>
          <w:szCs w:val="24"/>
        </w:rPr>
        <w:t xml:space="preserve">                                                                                                                             </w:t>
      </w:r>
      <w:r w:rsidR="007E34A1" w:rsidRPr="007E34A1">
        <w:rPr>
          <w:b/>
          <w:sz w:val="24"/>
          <w:szCs w:val="24"/>
        </w:rPr>
        <w:t>Table</w:t>
      </w:r>
      <w:r w:rsidR="00277C07">
        <w:rPr>
          <w:b/>
          <w:sz w:val="24"/>
          <w:szCs w:val="24"/>
        </w:rPr>
        <w:t>s</w:t>
      </w:r>
      <w:r w:rsidR="007E34A1" w:rsidRPr="007E34A1">
        <w:rPr>
          <w:b/>
          <w:sz w:val="24"/>
          <w:szCs w:val="24"/>
        </w:rPr>
        <w:t xml:space="preserve"> I</w:t>
      </w:r>
      <w:r w:rsidR="007E34A1" w:rsidRPr="007E34A1">
        <w:rPr>
          <w:b/>
          <w:sz w:val="24"/>
          <w:szCs w:val="24"/>
        </w:rPr>
        <w:tab/>
      </w:r>
      <w:r w:rsidR="007E34A1">
        <w:rPr>
          <w:sz w:val="24"/>
          <w:szCs w:val="24"/>
        </w:rPr>
        <w:tab/>
      </w:r>
      <w:r w:rsidR="007E34A1">
        <w:rPr>
          <w:sz w:val="24"/>
          <w:szCs w:val="24"/>
        </w:rPr>
        <w:tab/>
      </w:r>
      <w:r w:rsidR="007E34A1">
        <w:rPr>
          <w:sz w:val="24"/>
          <w:szCs w:val="24"/>
        </w:rPr>
        <w:tab/>
      </w:r>
      <w:r w:rsidR="007E34A1">
        <w:rPr>
          <w:sz w:val="24"/>
          <w:szCs w:val="24"/>
        </w:rPr>
        <w:tab/>
      </w:r>
      <w:r w:rsidR="007E34A1">
        <w:rPr>
          <w:sz w:val="24"/>
          <w:szCs w:val="24"/>
        </w:rPr>
        <w:tab/>
      </w:r>
      <w:r w:rsidR="007E34A1">
        <w:rPr>
          <w:sz w:val="24"/>
          <w:szCs w:val="24"/>
        </w:rPr>
        <w:tab/>
      </w:r>
      <w:r w:rsidR="007E34A1">
        <w:rPr>
          <w:sz w:val="24"/>
          <w:szCs w:val="24"/>
        </w:rPr>
        <w:tab/>
      </w:r>
      <w:r w:rsidR="007E34A1">
        <w:rPr>
          <w:sz w:val="24"/>
          <w:szCs w:val="24"/>
        </w:rPr>
        <w:tab/>
      </w:r>
      <w:r w:rsidR="007E34A1">
        <w:rPr>
          <w:sz w:val="24"/>
          <w:szCs w:val="24"/>
        </w:rPr>
        <w:tab/>
      </w:r>
      <w:r w:rsidR="007E34A1">
        <w:rPr>
          <w:sz w:val="24"/>
          <w:szCs w:val="24"/>
        </w:rPr>
        <w:tab/>
      </w:r>
    </w:p>
    <w:p w:rsidR="006A5937" w:rsidRDefault="0026734F" w:rsidP="005860A4">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tabs>
          <w:tab w:val="left" w:pos="11670"/>
        </w:tabs>
        <w:rPr>
          <w:sz w:val="24"/>
          <w:szCs w:val="24"/>
        </w:rPr>
      </w:pPr>
      <w:r>
        <w:rPr>
          <w:sz w:val="24"/>
          <w:szCs w:val="24"/>
        </w:rPr>
        <w:t xml:space="preserve">  </w:t>
      </w:r>
      <w:r w:rsidR="006A5937">
        <w:rPr>
          <w:noProof/>
          <w:sz w:val="24"/>
          <w:szCs w:val="24"/>
        </w:rPr>
        <w:drawing>
          <wp:inline distT="0" distB="0" distL="0" distR="0" wp14:anchorId="4553E24C" wp14:editId="3E1D52E1">
            <wp:extent cx="6343650" cy="40557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T.png"/>
                    <pic:cNvPicPr/>
                  </pic:nvPicPr>
                  <pic:blipFill>
                    <a:blip r:embed="rId18"/>
                    <a:stretch>
                      <a:fillRect/>
                    </a:stretch>
                  </pic:blipFill>
                  <pic:spPr>
                    <a:xfrm>
                      <a:off x="0" y="0"/>
                      <a:ext cx="6344252" cy="4056130"/>
                    </a:xfrm>
                    <a:prstGeom prst="rect">
                      <a:avLst/>
                    </a:prstGeom>
                  </pic:spPr>
                </pic:pic>
              </a:graphicData>
            </a:graphic>
          </wp:inline>
        </w:drawing>
      </w:r>
      <w:r w:rsidR="007E34A1" w:rsidRPr="007E34A1">
        <w:rPr>
          <w:b/>
          <w:sz w:val="24"/>
          <w:szCs w:val="24"/>
        </w:rPr>
        <w:t>Table J</w:t>
      </w:r>
    </w:p>
    <w:p w:rsidR="00C6740F" w:rsidRPr="00C6740F" w:rsidRDefault="00C6740F" w:rsidP="007E34A1">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cover all outreach costs.</w:t>
      </w:r>
    </w:p>
    <w:p w:rsidR="00C6740F" w:rsidRPr="00674225" w:rsidRDefault="00D903A8"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sz w:val="24"/>
          <w:szCs w:val="24"/>
        </w:rPr>
      </w:pPr>
      <w:r>
        <w:rPr>
          <w:sz w:val="24"/>
          <w:szCs w:val="24"/>
        </w:rPr>
        <w:t>The State cover</w:t>
      </w:r>
      <w:r w:rsidR="00103959">
        <w:rPr>
          <w:sz w:val="24"/>
          <w:szCs w:val="24"/>
        </w:rPr>
        <w:t>s</w:t>
      </w:r>
      <w:r>
        <w:rPr>
          <w:sz w:val="24"/>
          <w:szCs w:val="24"/>
        </w:rPr>
        <w:t xml:space="preserve"> 100% cost for Outreach</w:t>
      </w:r>
      <w:r w:rsidRPr="00D903A8">
        <w:rPr>
          <w:sz w:val="24"/>
          <w:szCs w:val="24"/>
        </w:rPr>
        <w:t xml:space="preserve"> </w:t>
      </w:r>
      <w:r>
        <w:rPr>
          <w:sz w:val="24"/>
          <w:szCs w:val="24"/>
        </w:rPr>
        <w:t>and Information Dissemination, including full time staff and Ambassadors of Good Will, in</w:t>
      </w:r>
      <w:r w:rsidR="00D231DC">
        <w:rPr>
          <w:sz w:val="24"/>
          <w:szCs w:val="24"/>
        </w:rPr>
        <w:t xml:space="preserve"> the amount of $561,107.</w:t>
      </w:r>
      <w:r>
        <w:rPr>
          <w:sz w:val="24"/>
          <w:szCs w:val="24"/>
        </w:rPr>
        <w:t xml:space="preserve">  During this reporting period </w:t>
      </w:r>
      <w:r w:rsidR="00D231DC">
        <w:rPr>
          <w:sz w:val="24"/>
          <w:szCs w:val="24"/>
        </w:rPr>
        <w:t xml:space="preserve">Outreach Workers conducted </w:t>
      </w:r>
      <w:r>
        <w:rPr>
          <w:sz w:val="24"/>
          <w:szCs w:val="24"/>
        </w:rPr>
        <w:t>104</w:t>
      </w:r>
      <w:r w:rsidR="00F02A70">
        <w:rPr>
          <w:sz w:val="24"/>
          <w:szCs w:val="24"/>
        </w:rPr>
        <w:t xml:space="preserve"> (out of the reporting period’s 194 total transitions) </w:t>
      </w:r>
      <w:r w:rsidR="00D231DC">
        <w:rPr>
          <w:sz w:val="24"/>
          <w:szCs w:val="24"/>
        </w:rPr>
        <w:t>Quality of Life Surveys</w:t>
      </w:r>
      <w:r>
        <w:rPr>
          <w:sz w:val="24"/>
          <w:szCs w:val="24"/>
        </w:rPr>
        <w:t xml:space="preserve"> on Class Members who </w:t>
      </w:r>
      <w:r w:rsidR="00F02A70">
        <w:rPr>
          <w:sz w:val="24"/>
          <w:szCs w:val="24"/>
        </w:rPr>
        <w:t>moved</w:t>
      </w:r>
      <w:r>
        <w:rPr>
          <w:sz w:val="24"/>
          <w:szCs w:val="24"/>
        </w:rPr>
        <w:t xml:space="preserve"> from Long Term Care (5</w:t>
      </w:r>
      <w:r w:rsidR="00F02A70">
        <w:rPr>
          <w:sz w:val="24"/>
          <w:szCs w:val="24"/>
        </w:rPr>
        <w:t>4</w:t>
      </w:r>
      <w:r>
        <w:rPr>
          <w:sz w:val="24"/>
          <w:szCs w:val="24"/>
        </w:rPr>
        <w:t xml:space="preserve">%).   The difference </w:t>
      </w:r>
      <w:r w:rsidR="006E63A4">
        <w:rPr>
          <w:sz w:val="24"/>
          <w:szCs w:val="24"/>
        </w:rPr>
        <w:t xml:space="preserve">in survey completion is </w:t>
      </w:r>
      <w:r>
        <w:rPr>
          <w:sz w:val="24"/>
          <w:szCs w:val="24"/>
        </w:rPr>
        <w:t>attributed to Class Members who refuse</w:t>
      </w:r>
      <w:r w:rsidR="00F02A70">
        <w:rPr>
          <w:sz w:val="24"/>
          <w:szCs w:val="24"/>
        </w:rPr>
        <w:t>d</w:t>
      </w:r>
      <w:r>
        <w:rPr>
          <w:sz w:val="24"/>
          <w:szCs w:val="24"/>
        </w:rPr>
        <w:t xml:space="preserve"> to participate in the QoL </w:t>
      </w:r>
      <w:r w:rsidR="00F02A70">
        <w:rPr>
          <w:sz w:val="24"/>
          <w:szCs w:val="24"/>
        </w:rPr>
        <w:t>S</w:t>
      </w:r>
      <w:r>
        <w:rPr>
          <w:sz w:val="24"/>
          <w:szCs w:val="24"/>
        </w:rPr>
        <w:t xml:space="preserve">urvey, those who </w:t>
      </w:r>
      <w:r w:rsidR="006E63A4">
        <w:rPr>
          <w:sz w:val="24"/>
          <w:szCs w:val="24"/>
        </w:rPr>
        <w:t xml:space="preserve">have a </w:t>
      </w:r>
      <w:r>
        <w:rPr>
          <w:sz w:val="24"/>
          <w:szCs w:val="24"/>
        </w:rPr>
        <w:t>lease signed but who have yet to physically transition</w:t>
      </w:r>
      <w:r w:rsidR="00F02A70">
        <w:rPr>
          <w:sz w:val="24"/>
          <w:szCs w:val="24"/>
        </w:rPr>
        <w:t>,</w:t>
      </w:r>
      <w:r>
        <w:rPr>
          <w:sz w:val="24"/>
          <w:szCs w:val="24"/>
        </w:rPr>
        <w:t xml:space="preserve"> and those who move</w:t>
      </w:r>
      <w:r w:rsidR="00F02A70">
        <w:rPr>
          <w:sz w:val="24"/>
          <w:szCs w:val="24"/>
        </w:rPr>
        <w:t>d</w:t>
      </w:r>
      <w:r>
        <w:rPr>
          <w:sz w:val="24"/>
          <w:szCs w:val="24"/>
        </w:rPr>
        <w:t xml:space="preserve"> before NAMI was scheduled to return to the facility.  For the latter group, the Williams Quality Monitor will attempt to complete the survey.     </w:t>
      </w:r>
    </w:p>
    <w:p w:rsidR="00C6740F" w:rsidRPr="00624DC8"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624DC8">
        <w:rPr>
          <w:i/>
          <w:sz w:val="24"/>
          <w:szCs w:val="24"/>
        </w:rPr>
        <w:t>Every CM receives independent, professionally appropriate and person-centered evaluation of preferences, strengths and needs to determine services required to live in PSH or another community-based setting. Every CM has the right to decline to take part in such Evaluation. Any CM who has declined to be evaluated has the right to receive an Evaluation any time thereafter on request.</w:t>
      </w:r>
    </w:p>
    <w:p w:rsidR="00C6740F" w:rsidRPr="00920B57" w:rsidRDefault="00920B57"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920B57">
        <w:t xml:space="preserve">  </w:t>
      </w:r>
      <w:r w:rsidR="009E3A2D">
        <w:t xml:space="preserve">There were </w:t>
      </w:r>
      <w:r w:rsidRPr="00920B57">
        <w:t xml:space="preserve">1,454 Class Members </w:t>
      </w:r>
      <w:r w:rsidR="009E3A2D">
        <w:t xml:space="preserve">who </w:t>
      </w:r>
      <w:r w:rsidRPr="00920B57">
        <w:t>consistently refuse</w:t>
      </w:r>
      <w:r w:rsidR="009C7298">
        <w:t xml:space="preserve">d an </w:t>
      </w:r>
      <w:r w:rsidRPr="00920B57">
        <w:t>assess</w:t>
      </w:r>
      <w:r w:rsidR="009C7298">
        <w:t>ment</w:t>
      </w:r>
      <w:r w:rsidRPr="00920B57">
        <w:t xml:space="preserve"> prior to FY18</w:t>
      </w:r>
      <w:r w:rsidR="00A5705F">
        <w:t xml:space="preserve">. </w:t>
      </w:r>
      <w:r w:rsidRPr="00920B57">
        <w:t xml:space="preserve"> 964 </w:t>
      </w:r>
      <w:r w:rsidR="00A5705F">
        <w:t>of th</w:t>
      </w:r>
      <w:r w:rsidR="00203B4A">
        <w:t>e 1,454</w:t>
      </w:r>
      <w:r w:rsidR="00A5705F">
        <w:t xml:space="preserve"> </w:t>
      </w:r>
      <w:r w:rsidR="00EA6BC4">
        <w:t xml:space="preserve">were </w:t>
      </w:r>
      <w:r w:rsidRPr="00920B57">
        <w:t xml:space="preserve">re-approached for an </w:t>
      </w:r>
      <w:r w:rsidR="009C7298">
        <w:t xml:space="preserve">annual reassessment in FY18.  35 of the 964 </w:t>
      </w:r>
      <w:r w:rsidR="00EA6BC4">
        <w:t xml:space="preserve">Class Members </w:t>
      </w:r>
      <w:r w:rsidR="00A5705F">
        <w:t xml:space="preserve">approached and </w:t>
      </w:r>
      <w:r w:rsidR="009C7298">
        <w:t xml:space="preserve">reassessed (4%) were approved </w:t>
      </w:r>
      <w:r w:rsidR="00A5705F">
        <w:t xml:space="preserve">to begin </w:t>
      </w:r>
      <w:r w:rsidR="009C7298">
        <w:t>transition</w:t>
      </w:r>
      <w:r w:rsidR="00A5705F">
        <w:t xml:space="preserve"> activity</w:t>
      </w:r>
      <w:r w:rsidR="009C7298">
        <w:t xml:space="preserve">.  207 </w:t>
      </w:r>
      <w:r w:rsidR="00EA6BC4">
        <w:t xml:space="preserve">Class Members </w:t>
      </w:r>
      <w:r w:rsidR="009C7298">
        <w:t xml:space="preserve">(21%) </w:t>
      </w:r>
      <w:r w:rsidR="009E3A2D">
        <w:t>had been</w:t>
      </w:r>
      <w:r w:rsidR="009C7298">
        <w:t xml:space="preserve"> discharged from the facility (whereabouts unknown) or transferred to another facility.  707 </w:t>
      </w:r>
      <w:r w:rsidR="009E3A2D">
        <w:t xml:space="preserve">Class Members </w:t>
      </w:r>
      <w:r w:rsidR="009C7298">
        <w:t xml:space="preserve">of the 964 (73%) </w:t>
      </w:r>
      <w:r w:rsidR="00203B4A">
        <w:t xml:space="preserve">again </w:t>
      </w:r>
      <w:r w:rsidR="009C7298">
        <w:t xml:space="preserve">refused a re-assessment.   15 </w:t>
      </w:r>
      <w:r w:rsidR="009E3A2D">
        <w:t xml:space="preserve">Class Members </w:t>
      </w:r>
      <w:r w:rsidR="009C7298">
        <w:t>of the 964 (2%) were reassessed and not approved for transition</w:t>
      </w:r>
      <w:r w:rsidR="009E3A2D">
        <w:t xml:space="preserve"> activity</w:t>
      </w:r>
      <w:r w:rsidR="009C7298">
        <w:t xml:space="preserve">.   The </w:t>
      </w:r>
      <w:r w:rsidR="009E3A2D">
        <w:t>remaining</w:t>
      </w:r>
      <w:r w:rsidR="00DF3CA7">
        <w:t xml:space="preserve"> 490 CM (out of the original 1,</w:t>
      </w:r>
      <w:r w:rsidR="00203B4A">
        <w:t>454) includes</w:t>
      </w:r>
      <w:r w:rsidR="009C7298">
        <w:t xml:space="preserve"> Class Members who</w:t>
      </w:r>
      <w:r w:rsidR="009E3A2D">
        <w:t xml:space="preserve">se </w:t>
      </w:r>
      <w:r w:rsidR="00203B4A">
        <w:t>re-assessment is not yet due.</w:t>
      </w:r>
      <w:r w:rsidR="009E3A2D">
        <w:t xml:space="preserve">  </w:t>
      </w:r>
      <w:r w:rsidR="000A0C58">
        <w:t>If a Class Member</w:t>
      </w:r>
      <w:r w:rsidR="00203B4A">
        <w:t xml:space="preserve"> changes their mind and</w:t>
      </w:r>
      <w:r w:rsidR="000A0C58">
        <w:t xml:space="preserve"> request</w:t>
      </w:r>
      <w:r w:rsidR="00203B4A">
        <w:t>s</w:t>
      </w:r>
      <w:r w:rsidR="000A0C58">
        <w:t xml:space="preserve"> a Resident Review, that request is sent to DMH and it is assigned to LSSI or MFS.  The Resident Reviewers will schedule within their workload rotation</w:t>
      </w:r>
      <w:r w:rsidR="000A0C58" w:rsidRPr="008A7C78">
        <w:t xml:space="preserve">.   </w:t>
      </w:r>
      <w:r w:rsidR="00203B4A" w:rsidRPr="00D97E40">
        <w:t>Data on the time from request to completion of the Resident Review is not currently collected but</w:t>
      </w:r>
      <w:r w:rsidR="00DF3CA7" w:rsidRPr="00D97E40">
        <w:t xml:space="preserve"> data will be collected during FY19 for future reports.</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shall ensure that all Evaluations are conducted by QPs as defined in this Decree.</w:t>
      </w:r>
    </w:p>
    <w:p w:rsidR="00C6740F" w:rsidRPr="00305B35" w:rsidRDefault="00F138F5" w:rsidP="00305B35">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pacing w:after="0"/>
      </w:pPr>
      <w:r w:rsidRPr="00305B35">
        <w:t>See above narrative for details.  T</w:t>
      </w:r>
      <w:r w:rsidR="008339B3" w:rsidRPr="00305B35">
        <w:t xml:space="preserve">he </w:t>
      </w:r>
      <w:r w:rsidRPr="00305B35">
        <w:t>Resident Review agencies,</w:t>
      </w:r>
      <w:r w:rsidR="008339B3" w:rsidRPr="00305B35">
        <w:t xml:space="preserve"> LSSI and MFS</w:t>
      </w:r>
      <w:r w:rsidRPr="00305B35">
        <w:t>,</w:t>
      </w:r>
      <w:r w:rsidR="008339B3" w:rsidRPr="00305B35">
        <w:t xml:space="preserve"> have a combined total of fourteen (14) licensed, full time clinicians who are responsible for conducting a strength-based, person-centered, comprehensive </w:t>
      </w:r>
      <w:r w:rsidRPr="00305B35">
        <w:t>evaluations</w:t>
      </w:r>
      <w:r w:rsidR="008339B3" w:rsidRPr="00305B35">
        <w:t xml:space="preserve"> that include clinical, functional</w:t>
      </w:r>
      <w:r w:rsidRPr="00305B35">
        <w:t>, medical/medication</w:t>
      </w:r>
      <w:r w:rsidR="008339B3" w:rsidRPr="00305B35">
        <w:t xml:space="preserve"> and </w:t>
      </w:r>
      <w:r w:rsidR="00624DC8">
        <w:t>risk</w:t>
      </w:r>
      <w:r w:rsidR="008A7C78">
        <w:t>-</w:t>
      </w:r>
      <w:r w:rsidR="00624DC8">
        <w:t xml:space="preserve">based assessments. </w:t>
      </w:r>
      <w:r w:rsidRPr="00305B35">
        <w:t xml:space="preserve">During this reporting period </w:t>
      </w:r>
      <w:r w:rsidR="00A57ADB" w:rsidRPr="00305B35">
        <w:t xml:space="preserve">a total of </w:t>
      </w:r>
      <w:r w:rsidR="00A57ADB" w:rsidRPr="00F02A70">
        <w:t>716</w:t>
      </w:r>
      <w:r w:rsidR="00A57ADB" w:rsidRPr="00305B35">
        <w:t xml:space="preserve"> Resident Review assessments were completed.</w:t>
      </w:r>
      <w:r w:rsidRPr="00305B35">
        <w:t xml:space="preserve"> </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shall ensure, as provided in the IP, CMs are informed about community-based settings including PSH and community-based services available to assist individuals in these settings, and financial support CMs may receive in these settings.</w:t>
      </w:r>
    </w:p>
    <w:p w:rsidR="00C6740F" w:rsidRPr="00305B35" w:rsidRDefault="00C513F9" w:rsidP="00305B35">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pacing w:after="100" w:afterAutospacing="1"/>
      </w:pPr>
      <w:r w:rsidRPr="00305B35">
        <w:t>Addressed in narrative updates on Outreach Information Dissemination and Resident Reviews</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sz w:val="24"/>
          <w:szCs w:val="24"/>
        </w:rPr>
      </w:pPr>
      <w:r w:rsidRPr="00C6740F">
        <w:rPr>
          <w:i/>
          <w:sz w:val="24"/>
          <w:szCs w:val="24"/>
        </w:rPr>
        <w:t>After the second year following finalization of the IP, the Evaluations shall be conducted annually. As part of each CM's annual Evaluation, the reasons for any CM's opposition to moving out of an IMD to a CB setting will be fully explored and appropriately addressed as described in Section VII. Any CM who has received an evaluation but has declined to move to a CB setting may request to be reassessed for transition to CB setting any time thereafter</w:t>
      </w:r>
      <w:r w:rsidRPr="00C6740F">
        <w:rPr>
          <w:sz w:val="24"/>
          <w:szCs w:val="24"/>
        </w:rPr>
        <w:t>.</w:t>
      </w:r>
    </w:p>
    <w:p w:rsidR="00A73E7E" w:rsidRPr="00F85E3D" w:rsidRDefault="0093512E" w:rsidP="00A73E7E">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i/>
          <w:sz w:val="24"/>
          <w:szCs w:val="24"/>
        </w:rPr>
      </w:pPr>
      <w:r>
        <w:t xml:space="preserve"> </w:t>
      </w:r>
      <w:r w:rsidR="00E0076E">
        <w:t>There were 4,223 Class Members who had a resident review in FY17.  Out of this</w:t>
      </w:r>
      <w:r>
        <w:t xml:space="preserve"> total</w:t>
      </w:r>
      <w:r w:rsidR="00D33FC9">
        <w:t>,</w:t>
      </w:r>
      <w:r w:rsidR="00E0076E">
        <w:t xml:space="preserve"> 1,110 (26%) were approved for transiti</w:t>
      </w:r>
      <w:r w:rsidR="00891EEB">
        <w:t xml:space="preserve">on. </w:t>
      </w:r>
      <w:r w:rsidR="00D33FC9">
        <w:t xml:space="preserve">   3,113 Class Members of the 4, 233 (74%) who were not approved for transition in FY17 were scheduled for an annual reassessment in FY18.  2,571 of the</w:t>
      </w:r>
      <w:r w:rsidR="007D3E5B">
        <w:t xml:space="preserve"> 3,113</w:t>
      </w:r>
      <w:r w:rsidR="00D33FC9">
        <w:t xml:space="preserve"> Class Members rescheduled for an annual resident review reassessment had this assessment conducted in FY18, to date.  1,526 Class Members of the 2,571 (59%) had a Resident Review assessment completed within 60 days from the due date of the previous assessment.   The difference may be attributed to assessments that are not yet due.</w:t>
      </w:r>
      <w:r w:rsidR="007A62A1">
        <w:t xml:space="preserve"> </w:t>
      </w:r>
      <w:r w:rsidR="00A73E7E">
        <w:t xml:space="preserve"> There are multiple reasons given by Class Members as to ‘why’ they “refuse to be assessed” or do not want to move from their current setting.   The themes range from a general “no not interested/leave me alone”, to the top ten (in no priority order): (1) refuse to elaborate, (2) want to stay where I am, (3) going to live with my family, (4) it is not my family’s wishes, (5) court mandated, not going anywhere on conditional release, (6) guardian refuses to respond or says “no”; (7) never lived on my own and fearful/or had a bad experience before, do not want to again; (8) denied before, not interested; (9)  medically cannot live on my own; (10) those people will get me.  To the extent that these reasons can be adequately addressed to meet the comfort level of the Class Member, it is done by the Reviewer with support from NAMI Outreach or Ambassador staff.  To ensure that options to transition are not exhausted, Class Members have the right to ask for an assessment and to be scheduled for a reassessment on a quarterly basis.   </w:t>
      </w:r>
    </w:p>
    <w:p w:rsidR="00F85E3D" w:rsidRDefault="00F85E3D" w:rsidP="00891EEB">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p>
    <w:p w:rsidR="00F85E3D" w:rsidRDefault="00C6740F" w:rsidP="00891EEB">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i/>
          <w:sz w:val="24"/>
          <w:szCs w:val="24"/>
        </w:rPr>
      </w:pPr>
      <w:r w:rsidRPr="00C6740F">
        <w:rPr>
          <w:i/>
          <w:sz w:val="24"/>
          <w:szCs w:val="24"/>
        </w:rPr>
        <w:t>Based on evaluations described above, Defendants shall promptly develop service plans specific to each CM who is assessed as appropriate for transition to a CB setting</w:t>
      </w:r>
    </w:p>
    <w:p w:rsidR="00C6740F" w:rsidRDefault="00483268" w:rsidP="00305B35">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pacing w:after="0"/>
      </w:pPr>
      <w:r>
        <w:t>Each assigned CMHC is required to complete a</w:t>
      </w:r>
      <w:r w:rsidR="00BA7DF7">
        <w:t xml:space="preserve"> Comprehensive Service Plan (</w:t>
      </w:r>
      <w:r>
        <w:t>CSP</w:t>
      </w:r>
      <w:r w:rsidR="00BA7DF7">
        <w:t>)</w:t>
      </w:r>
      <w:r>
        <w:t xml:space="preserve"> w</w:t>
      </w:r>
      <w:r w:rsidR="00400944">
        <w:t xml:space="preserve">ith the Class Member’s input. </w:t>
      </w:r>
      <w:r w:rsidR="002906E2" w:rsidRPr="00483268">
        <w:t>The state</w:t>
      </w:r>
      <w:r w:rsidR="002D7AD2">
        <w:t>’s</w:t>
      </w:r>
      <w:r w:rsidR="002906E2" w:rsidRPr="00483268">
        <w:t xml:space="preserve"> contracted Administrative Service Organization</w:t>
      </w:r>
      <w:r>
        <w:t xml:space="preserve"> (ASO)</w:t>
      </w:r>
      <w:r w:rsidR="002906E2" w:rsidRPr="00483268">
        <w:t xml:space="preserve">, Mental Health Collaborative for Access and Choice, is the repository for capturing </w:t>
      </w:r>
      <w:r>
        <w:t xml:space="preserve">the </w:t>
      </w:r>
      <w:r w:rsidR="002906E2" w:rsidRPr="00483268">
        <w:t>three critical element</w:t>
      </w:r>
      <w:r w:rsidRPr="00483268">
        <w:t>s</w:t>
      </w:r>
      <w:r w:rsidR="002906E2" w:rsidRPr="00483268">
        <w:t xml:space="preserve"> of </w:t>
      </w:r>
      <w:r w:rsidR="002D7AD2">
        <w:t>the data</w:t>
      </w:r>
      <w:r w:rsidR="002906E2" w:rsidRPr="00483268">
        <w:t xml:space="preserve"> system</w:t>
      </w:r>
      <w:r w:rsidR="002D7AD2">
        <w:t>’</w:t>
      </w:r>
      <w:r w:rsidR="002906E2" w:rsidRPr="00483268">
        <w:t>s operation</w:t>
      </w:r>
      <w:r w:rsidRPr="00483268">
        <w:t>s</w:t>
      </w:r>
      <w:r w:rsidR="002906E2" w:rsidRPr="00483268">
        <w:t xml:space="preserve"> (1) Registration Data, (2) the </w:t>
      </w:r>
      <w:r w:rsidR="00C513F9" w:rsidRPr="00483268">
        <w:t>Comprehensive Service Plan</w:t>
      </w:r>
      <w:r w:rsidR="002906E2" w:rsidRPr="00483268">
        <w:t xml:space="preserve"> (CSP) Data</w:t>
      </w:r>
      <w:r w:rsidR="002D7AD2">
        <w:t>,</w:t>
      </w:r>
      <w:r w:rsidR="002906E2" w:rsidRPr="00483268">
        <w:t xml:space="preserve"> and (3) Transition Outcome Tracking</w:t>
      </w:r>
      <w:r w:rsidR="00400944">
        <w:t xml:space="preserve">.  </w:t>
      </w:r>
      <w:r w:rsidRPr="00483268">
        <w:t>The data fields for the CSP include, as examples: (a) service description, (b) type of services, (c) level of care description, (d) date of referral, (e) intro letter signed/date, (f) medical., (g) dental, (h) ancillary services, (</w:t>
      </w:r>
      <w:proofErr w:type="spellStart"/>
      <w:r w:rsidRPr="00483268">
        <w:t>i</w:t>
      </w:r>
      <w:proofErr w:type="spellEnd"/>
      <w:r w:rsidRPr="00483268">
        <w:t>) podiatr</w:t>
      </w:r>
      <w:r w:rsidR="00400944">
        <w:t xml:space="preserve">y, (j) vocational, (k) other.  </w:t>
      </w:r>
      <w:r w:rsidRPr="00483268">
        <w:t xml:space="preserve">Concurrently, </w:t>
      </w:r>
      <w:r>
        <w:t xml:space="preserve">assigned </w:t>
      </w:r>
      <w:r w:rsidRPr="00483268">
        <w:t>CMHC envelop</w:t>
      </w:r>
      <w:r w:rsidR="00BA7DF7">
        <w:t>s</w:t>
      </w:r>
      <w:r w:rsidRPr="00483268">
        <w:t xml:space="preserve"> the CSPs into the Medicaid required Individual Treatment Plan</w:t>
      </w:r>
      <w:r w:rsidR="00BA7DF7">
        <w:t xml:space="preserve"> (ITP)</w:t>
      </w:r>
      <w:r w:rsidRPr="00483268">
        <w:t xml:space="preserve">, which </w:t>
      </w:r>
      <w:r w:rsidR="00BA7DF7">
        <w:t>is</w:t>
      </w:r>
      <w:r w:rsidR="00400944">
        <w:t xml:space="preserve"> updated every six months. </w:t>
      </w:r>
      <w:r w:rsidRPr="00483268">
        <w:t xml:space="preserve">Additionally, </w:t>
      </w:r>
      <w:r w:rsidR="00BA7DF7" w:rsidRPr="00483268">
        <w:t xml:space="preserve">the assigned Williams </w:t>
      </w:r>
      <w:r w:rsidR="006E63A4">
        <w:t>CMHCs</w:t>
      </w:r>
      <w:r w:rsidR="00BA7DF7">
        <w:t xml:space="preserve"> </w:t>
      </w:r>
      <w:r w:rsidR="00BA7DF7" w:rsidRPr="00483268">
        <w:t xml:space="preserve">initiate and develop </w:t>
      </w:r>
      <w:r w:rsidR="00BA7DF7">
        <w:t>a</w:t>
      </w:r>
      <w:r w:rsidRPr="00483268">
        <w:t xml:space="preserve"> required Emergency Back-Up Plan as part of the transition</w:t>
      </w:r>
      <w:r w:rsidR="00BA7DF7">
        <w:t>/move-in</w:t>
      </w:r>
      <w:r w:rsidRPr="00483268">
        <w:t xml:space="preserve"> process</w:t>
      </w:r>
      <w:r w:rsidR="00BA7DF7">
        <w:t xml:space="preserve">. </w:t>
      </w:r>
      <w:r w:rsidRPr="00483268">
        <w:t>Williams Quality Monitors review each Class Member’s CSP as part of the initial monitoring process</w:t>
      </w:r>
      <w:r w:rsidR="00BA7DF7">
        <w:t xml:space="preserve"> and before they engage the Class Member for the </w:t>
      </w:r>
      <w:r w:rsidR="00F12525">
        <w:t>30-day</w:t>
      </w:r>
      <w:r w:rsidR="00BA7DF7">
        <w:t xml:space="preserve"> </w:t>
      </w:r>
      <w:r w:rsidR="00BB5CED">
        <w:t xml:space="preserve">post transition </w:t>
      </w:r>
      <w:r w:rsidR="00BA7DF7">
        <w:t>monitoring visit</w:t>
      </w:r>
      <w:r w:rsidRPr="008A7C78">
        <w:t>.</w:t>
      </w:r>
      <w:r w:rsidR="00C84848" w:rsidRPr="00C84848">
        <w:t xml:space="preserve"> </w:t>
      </w:r>
      <w:r w:rsidR="00C84848">
        <w:t xml:space="preserve"> Comprehensive Service Plans are the pre-cursor to the required Medicaid Individual Treatment Plan (ITP), which describe necessary community-based services and ancillary supports and coordination of care resources needed to facilitate transition.  There were 315 CSPs reviewed by Quality Monitors in FY18.  Quality Monitors have not been instructed to look for a timetable to complete transitions.   The initial expectation was that transition would/could occur within 12 weeks or less.  The reality is that transitions are </w:t>
      </w:r>
      <w:proofErr w:type="gramStart"/>
      <w:r w:rsidR="00C84848">
        <w:t>individualized</w:t>
      </w:r>
      <w:proofErr w:type="gramEnd"/>
      <w:r w:rsidR="00C84848">
        <w:t xml:space="preserve"> and time frames vary according to multiple situations needed to execute a safe and sound transition.  This is often outside of the control of the serving agency or the state.  As stated, ITP must be updated every six months to meet compliance with Medicaid billing and the Medicaid Rule.  The Service Plan is only completed once</w:t>
      </w:r>
      <w:r w:rsidR="00C84848" w:rsidRPr="00A700AB">
        <w:t xml:space="preserve">. </w:t>
      </w:r>
      <w:r w:rsidR="007A62A1" w:rsidRPr="008A7C78">
        <w:t xml:space="preserve">  There is no database t</w:t>
      </w:r>
      <w:r w:rsidR="007D3E5B" w:rsidRPr="008A7C78">
        <w:t>hat</w:t>
      </w:r>
      <w:r w:rsidR="007A62A1" w:rsidRPr="008A7C78">
        <w:t xml:space="preserve"> collect</w:t>
      </w:r>
      <w:r w:rsidR="007D3E5B" w:rsidRPr="008A7C78">
        <w:t>s</w:t>
      </w:r>
      <w:r w:rsidR="007A62A1" w:rsidRPr="008A7C78">
        <w:t xml:space="preserve"> this data.</w:t>
      </w:r>
      <w:r w:rsidR="007D3E5B" w:rsidRPr="008A7C78">
        <w:t xml:space="preserve">  However, data will be collected during FY19 for future reports on the time for Service Plan development.</w:t>
      </w:r>
    </w:p>
    <w:p w:rsidR="007A62A1" w:rsidRPr="00305B35" w:rsidRDefault="007A62A1" w:rsidP="00305B35">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pacing w:after="0"/>
      </w:pP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Each SP shall be periodically updated to reflect any changes in needs and preferences of the CM, including desire to move to CB setting after declining, and shall incorporate services to assist in acquisition of basic and instrumental activities of daily living skills and illness self-management.</w:t>
      </w:r>
    </w:p>
    <w:p w:rsidR="00C6740F" w:rsidRDefault="00DF3CA7"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Pr>
          <w:sz w:val="24"/>
          <w:szCs w:val="24"/>
        </w:rPr>
        <w:t xml:space="preserve"> </w:t>
      </w:r>
      <w:r w:rsidR="007D3E5B">
        <w:rPr>
          <w:sz w:val="24"/>
          <w:szCs w:val="24"/>
        </w:rPr>
        <w:t>Service Plans are reviewed and updated as needed by the CMHC as CM needs and preferences change.  Data is not currently collected on the frequency of Service Plan updates, but data will be gathered during FY19 for future reports.</w:t>
      </w:r>
      <w:r w:rsidR="007A62A1">
        <w:rPr>
          <w:sz w:val="24"/>
          <w:szCs w:val="24"/>
        </w:rPr>
        <w:t xml:space="preserve"> </w:t>
      </w:r>
      <w:r w:rsidR="00C6740F" w:rsidRPr="00C6740F">
        <w:rPr>
          <w:i/>
          <w:sz w:val="24"/>
          <w:szCs w:val="24"/>
        </w:rPr>
        <w:t>For each CM who does not oppose moving to CB setting, the service plan shall describe the CB services the CM requires in a CB setting, including the services the CM will need to transition to CB setting, and timetable for completing that transition.</w:t>
      </w:r>
    </w:p>
    <w:p w:rsidR="00C6740F" w:rsidRPr="00C6740F" w:rsidRDefault="007A62A1" w:rsidP="00506E47">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tabs>
          <w:tab w:val="left" w:pos="5480"/>
        </w:tabs>
        <w:rPr>
          <w:sz w:val="24"/>
          <w:szCs w:val="24"/>
        </w:rPr>
      </w:pPr>
      <w:r w:rsidRPr="008A7C78">
        <w:rPr>
          <w:sz w:val="24"/>
          <w:szCs w:val="24"/>
        </w:rPr>
        <w:t xml:space="preserve">  There is no existing database to collect this data.</w:t>
      </w:r>
      <w:r w:rsidR="00506E47">
        <w:rPr>
          <w:sz w:val="24"/>
          <w:szCs w:val="24"/>
        </w:rPr>
        <w:tab/>
      </w:r>
    </w:p>
    <w:p w:rsidR="002D7AD2"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If there has been a determination that a CM is not currently appropriate for PSH, SP shall specify what services the CM needs that could not be provided in PSH and shall describe the CB services that CM needs to live in another CB setting that is most integrated setting appropriate.</w:t>
      </w:r>
    </w:p>
    <w:p w:rsidR="00C6740F" w:rsidRPr="002D7AD2" w:rsidRDefault="002D7AD2" w:rsidP="002D7AD2">
      <w:pPr>
        <w:tabs>
          <w:tab w:val="left" w:pos="1695"/>
        </w:tabs>
        <w:rPr>
          <w:sz w:val="24"/>
          <w:szCs w:val="24"/>
        </w:rPr>
      </w:pPr>
      <w:r>
        <w:rPr>
          <w:sz w:val="24"/>
          <w:szCs w:val="24"/>
        </w:rPr>
        <w:t xml:space="preserve">The below screen shot </w:t>
      </w:r>
      <w:r w:rsidR="00017A81">
        <w:rPr>
          <w:sz w:val="24"/>
          <w:szCs w:val="24"/>
        </w:rPr>
        <w:t>is</w:t>
      </w:r>
      <w:r w:rsidR="002B7502">
        <w:rPr>
          <w:sz w:val="24"/>
          <w:szCs w:val="24"/>
        </w:rPr>
        <w:t xml:space="preserve"> </w:t>
      </w:r>
      <w:r w:rsidR="00017A81">
        <w:rPr>
          <w:sz w:val="24"/>
          <w:szCs w:val="24"/>
        </w:rPr>
        <w:t xml:space="preserve">completed </w:t>
      </w:r>
      <w:r w:rsidR="002B7502">
        <w:rPr>
          <w:sz w:val="24"/>
          <w:szCs w:val="24"/>
        </w:rPr>
        <w:t>during the Resident Review assessment process</w:t>
      </w:r>
      <w:r w:rsidR="006E63A4">
        <w:rPr>
          <w:sz w:val="24"/>
          <w:szCs w:val="24"/>
        </w:rPr>
        <w:t xml:space="preserve"> for CMs who are determined at that time to</w:t>
      </w:r>
      <w:r w:rsidR="002B7502">
        <w:rPr>
          <w:sz w:val="24"/>
          <w:szCs w:val="24"/>
        </w:rPr>
        <w:t xml:space="preserve"> not </w:t>
      </w:r>
      <w:r w:rsidR="006E63A4">
        <w:rPr>
          <w:sz w:val="24"/>
          <w:szCs w:val="24"/>
        </w:rPr>
        <w:t xml:space="preserve">be </w:t>
      </w:r>
      <w:r w:rsidR="002B7502">
        <w:rPr>
          <w:sz w:val="24"/>
          <w:szCs w:val="24"/>
        </w:rPr>
        <w:t>appropriate for transitio</w:t>
      </w:r>
      <w:r w:rsidR="00CD63AB">
        <w:rPr>
          <w:sz w:val="24"/>
          <w:szCs w:val="24"/>
        </w:rPr>
        <w:t xml:space="preserve">n. </w:t>
      </w:r>
      <w:r w:rsidR="002B7502">
        <w:rPr>
          <w:sz w:val="24"/>
          <w:szCs w:val="24"/>
        </w:rPr>
        <w:t xml:space="preserve">The Service Plan is not completed by a CMHC until such time that the Resident Review affirmatively indicates that the Class Member is a transition candidate for a </w:t>
      </w:r>
      <w:r w:rsidR="006E63A4">
        <w:rPr>
          <w:sz w:val="24"/>
          <w:szCs w:val="24"/>
        </w:rPr>
        <w:t>C</w:t>
      </w:r>
      <w:r w:rsidR="002B7502">
        <w:rPr>
          <w:sz w:val="24"/>
          <w:szCs w:val="24"/>
        </w:rPr>
        <w:t>ommunity-</w:t>
      </w:r>
      <w:r w:rsidR="006E63A4">
        <w:rPr>
          <w:sz w:val="24"/>
          <w:szCs w:val="24"/>
        </w:rPr>
        <w:t>B</w:t>
      </w:r>
      <w:r w:rsidR="002B7502">
        <w:rPr>
          <w:sz w:val="24"/>
          <w:szCs w:val="24"/>
        </w:rPr>
        <w:t xml:space="preserve">ased option, either </w:t>
      </w:r>
      <w:r w:rsidR="006E63A4">
        <w:rPr>
          <w:sz w:val="24"/>
          <w:szCs w:val="24"/>
        </w:rPr>
        <w:t xml:space="preserve">through </w:t>
      </w:r>
      <w:r w:rsidR="002B7502">
        <w:rPr>
          <w:sz w:val="24"/>
          <w:szCs w:val="24"/>
        </w:rPr>
        <w:t xml:space="preserve">PSH or </w:t>
      </w:r>
      <w:r w:rsidR="006E63A4">
        <w:rPr>
          <w:sz w:val="24"/>
          <w:szCs w:val="24"/>
        </w:rPr>
        <w:t xml:space="preserve">a </w:t>
      </w:r>
      <w:r w:rsidR="002B7502">
        <w:rPr>
          <w:sz w:val="24"/>
          <w:szCs w:val="24"/>
        </w:rPr>
        <w:t>Supported or Supervised Residential setting.</w:t>
      </w:r>
      <w:r w:rsidR="007A62A1">
        <w:rPr>
          <w:sz w:val="24"/>
          <w:szCs w:val="24"/>
        </w:rPr>
        <w:t xml:space="preserve">  </w:t>
      </w:r>
      <w:r w:rsidR="0060102F">
        <w:rPr>
          <w:sz w:val="24"/>
          <w:szCs w:val="24"/>
        </w:rPr>
        <w:t xml:space="preserve">It should be noted that there remain </w:t>
      </w:r>
      <w:proofErr w:type="gramStart"/>
      <w:r w:rsidR="0060102F">
        <w:rPr>
          <w:sz w:val="24"/>
          <w:szCs w:val="24"/>
        </w:rPr>
        <w:t>a number of</w:t>
      </w:r>
      <w:proofErr w:type="gramEnd"/>
      <w:r w:rsidR="0060102F">
        <w:rPr>
          <w:sz w:val="24"/>
          <w:szCs w:val="24"/>
        </w:rPr>
        <w:t xml:space="preserve"> CM, who although they do not have dementia or cognitive impairments, high medical needs or are not an imminent danger to themselves or others, are </w:t>
      </w:r>
      <w:r w:rsidR="00266B05">
        <w:rPr>
          <w:sz w:val="24"/>
          <w:szCs w:val="24"/>
        </w:rPr>
        <w:t>later</w:t>
      </w:r>
      <w:r w:rsidR="0060102F">
        <w:rPr>
          <w:sz w:val="24"/>
          <w:szCs w:val="24"/>
        </w:rPr>
        <w:t xml:space="preserve"> determined by the CMHCs or Resident Reviewers to </w:t>
      </w:r>
      <w:r w:rsidR="00266B05">
        <w:rPr>
          <w:sz w:val="24"/>
          <w:szCs w:val="24"/>
        </w:rPr>
        <w:t>require</w:t>
      </w:r>
      <w:r w:rsidR="0060102F">
        <w:rPr>
          <w:sz w:val="24"/>
          <w:szCs w:val="24"/>
        </w:rPr>
        <w:t xml:space="preserve"> a more intensive level of care such as a Supported or Supervised Residential Setting. </w:t>
      </w:r>
      <w:r w:rsidR="00967389">
        <w:rPr>
          <w:sz w:val="24"/>
          <w:szCs w:val="24"/>
        </w:rPr>
        <w:t xml:space="preserve"> The specific </w:t>
      </w:r>
      <w:r w:rsidR="00967389">
        <w:t>data requested has not been captured in a format, as identified above, that can be easily summarized.  Resident Review determinations and reasons supporting the determinations are not aggregated.  Service Plans are completed by the CMHCs.   Data systems will need to be developed to capture Resident Review determinations, for those not approved for transition, Clinical Review Team (CRT) determinations (if CRT supported the Resident Review outcome) and Service Plan recommendations for those on CAST or HOLD status</w:t>
      </w:r>
    </w:p>
    <w:p w:rsidR="00C6740F" w:rsidRPr="00C6740F" w:rsidRDefault="00E87C1D"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sz w:val="24"/>
          <w:szCs w:val="24"/>
        </w:rPr>
      </w:pPr>
      <w:r>
        <w:rPr>
          <w:sz w:val="24"/>
          <w:szCs w:val="24"/>
        </w:rPr>
        <w:t>This information is captured in the Resident Review assessment</w:t>
      </w:r>
      <w:r w:rsidR="002C7AE5">
        <w:rPr>
          <w:sz w:val="24"/>
          <w:szCs w:val="24"/>
        </w:rPr>
        <w:t xml:space="preserve"> document</w:t>
      </w:r>
      <w:r>
        <w:rPr>
          <w:sz w:val="24"/>
          <w:szCs w:val="24"/>
        </w:rPr>
        <w:t xml:space="preserve">.  </w:t>
      </w:r>
      <w:r w:rsidR="002C7AE5">
        <w:rPr>
          <w:sz w:val="24"/>
          <w:szCs w:val="24"/>
        </w:rPr>
        <w:t>See below:</w:t>
      </w:r>
      <w:r>
        <w:rPr>
          <w:sz w:val="24"/>
          <w:szCs w:val="24"/>
        </w:rPr>
        <w:t xml:space="preserve">   </w:t>
      </w:r>
      <w:r w:rsidR="005E2F3E">
        <w:rPr>
          <w:noProof/>
          <w:sz w:val="24"/>
          <w:szCs w:val="24"/>
        </w:rPr>
        <w:drawing>
          <wp:inline distT="0" distB="0" distL="0" distR="0" wp14:anchorId="06015058" wp14:editId="7B73E1D5">
            <wp:extent cx="6934200" cy="3609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H_Question.png"/>
                    <pic:cNvPicPr/>
                  </pic:nvPicPr>
                  <pic:blipFill>
                    <a:blip r:embed="rId19">
                      <a:extLst>
                        <a:ext uri="{28A0092B-C50C-407E-A947-70E740481C1C}">
                          <a14:useLocalDpi xmlns:a14="http://schemas.microsoft.com/office/drawing/2010/main" val="0"/>
                        </a:ext>
                      </a:extLst>
                    </a:blip>
                    <a:stretch>
                      <a:fillRect/>
                    </a:stretch>
                  </pic:blipFill>
                  <pic:spPr>
                    <a:xfrm>
                      <a:off x="0" y="0"/>
                      <a:ext cx="6934200" cy="3609975"/>
                    </a:xfrm>
                    <a:prstGeom prst="rect">
                      <a:avLst/>
                    </a:prstGeom>
                  </pic:spPr>
                </pic:pic>
              </a:graphicData>
            </a:graphic>
          </wp:inline>
        </w:drawing>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The SP shall be developed by a QP in conjunction with CM and his/her legal representative. The QP also shall consult with other appropriate people of the CM's choosing.</w:t>
      </w:r>
    </w:p>
    <w:p w:rsidR="00C6740F" w:rsidRPr="00155CE0" w:rsidRDefault="00E87C1D"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155CE0">
        <w:t>The CSP</w:t>
      </w:r>
      <w:r w:rsidR="002B7502" w:rsidRPr="00155CE0">
        <w:t>, as with Individual Treatment Plans</w:t>
      </w:r>
      <w:r w:rsidRPr="00155CE0">
        <w:t xml:space="preserve"> are developed and signed off by the Class Member</w:t>
      </w:r>
      <w:r w:rsidR="002B7502" w:rsidRPr="00155CE0">
        <w:t xml:space="preserve"> and t</w:t>
      </w:r>
      <w:r w:rsidRPr="00155CE0">
        <w:t xml:space="preserve">he </w:t>
      </w:r>
      <w:r w:rsidR="002B7502" w:rsidRPr="00155CE0">
        <w:t>Qualified Mental Health Professional and/or the planning team.</w:t>
      </w:r>
      <w:r w:rsidR="008117B9">
        <w:t xml:space="preserve">    Each CMHC is Medicaid certified, accredited organization with operating policies, procedures and standards of care.  </w:t>
      </w:r>
      <w:r w:rsidR="0060102F">
        <w:t>I</w:t>
      </w:r>
      <w:r w:rsidR="008117B9">
        <w:t xml:space="preserve">nformation is thoroughly reviewed with each Class Member (or guardian) or other </w:t>
      </w:r>
      <w:r w:rsidR="0060102F">
        <w:t>individuals as chosen by the Class Member during the development of the Service Plan</w:t>
      </w:r>
      <w:r w:rsidR="008117B9">
        <w:t xml:space="preserve">.  If there is </w:t>
      </w:r>
      <w:r w:rsidR="0060102F">
        <w:t xml:space="preserve">a </w:t>
      </w:r>
      <w:r w:rsidR="008117B9">
        <w:t xml:space="preserve">concern about </w:t>
      </w:r>
      <w:r w:rsidR="0060102F">
        <w:t xml:space="preserve">a CM’s </w:t>
      </w:r>
      <w:r w:rsidR="008117B9">
        <w:t>comprehensive or cognitive ability to make informed decisions, the agency is advised to refer</w:t>
      </w:r>
      <w:r w:rsidR="0060102F">
        <w:t xml:space="preserve"> the CM</w:t>
      </w:r>
      <w:r w:rsidR="008117B9">
        <w:t xml:space="preserve"> for a specialized assessment.  </w:t>
      </w:r>
      <w:r w:rsidR="0060102F">
        <w:t>Data on what a CM may understand and who the CM may have included in process for SP development is not tracked, but individual involvement</w:t>
      </w:r>
      <w:r w:rsidR="00266B05">
        <w:t xml:space="preserve"> is typically </w:t>
      </w:r>
      <w:r w:rsidR="0060102F">
        <w:t>referenced in the Service Plan document.</w:t>
      </w:r>
      <w:r w:rsidR="00266B05">
        <w:t xml:space="preserve">  Data on specific SP participation is not tracked.</w:t>
      </w:r>
      <w:r w:rsidR="00E966BA">
        <w:t xml:space="preserve">   There are no pre or post tests given to Class Members to ascertain the depth of their individual understanding, retention of information or processing of information.  However, the processes currently in place are designed to provide the most accurate, concrete and user</w:t>
      </w:r>
      <w:r w:rsidR="0044463C">
        <w:t>-</w:t>
      </w:r>
      <w:r w:rsidR="00E966BA">
        <w:t xml:space="preserve">friendly </w:t>
      </w:r>
      <w:r w:rsidR="0044463C">
        <w:t xml:space="preserve">information </w:t>
      </w:r>
      <w:r w:rsidR="00162337">
        <w:t xml:space="preserve">possible, </w:t>
      </w:r>
      <w:r w:rsidR="0044463C">
        <w:t xml:space="preserve">so that </w:t>
      </w:r>
      <w:r w:rsidR="00162337">
        <w:t xml:space="preserve">Class Members </w:t>
      </w:r>
      <w:r w:rsidR="0044463C">
        <w:t>are aware of their rights.  The CMHCs, Resident Reviewers and NAMI fully reinforce that Class Members have full rights to have collaterals of choice in planning meeting with them.</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Each SP shall focus on CM's person vision, preferences, strengths and needs in home, community and work environments and shall reflect the value of supporting the individual with relationships, productive work, participation in community life, and personal decision-making.</w:t>
      </w:r>
    </w:p>
    <w:p w:rsidR="00C6740F" w:rsidRPr="001F7268" w:rsidRDefault="00E04E2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1F7268">
        <w:t>Service Plans are developed though person-centered planning for each CM by the assigned Community Agency</w:t>
      </w:r>
      <w:r w:rsidR="00EA7603" w:rsidRPr="001F7268">
        <w:t>, covering the areas of personal vision, needs, preferences in home, community and work and other areas of personal importance to the CM</w:t>
      </w:r>
      <w:r w:rsidR="00434360">
        <w:t xml:space="preserve">. </w:t>
      </w:r>
      <w:r w:rsidRPr="001F7268">
        <w:t>Quality Monitors routinely review service plans to ensure they are appropriate and person-centered for each CM</w:t>
      </w:r>
      <w:r w:rsidRPr="00D305B5">
        <w:t>.</w:t>
      </w:r>
      <w:r w:rsidR="0079491F" w:rsidRPr="00D305B5">
        <w:t xml:space="preserve">  Williams Quality Monitors reviewed 315 Comprehensive Service Plans</w:t>
      </w:r>
      <w:r w:rsidR="00BB221D" w:rsidRPr="00D305B5">
        <w:t xml:space="preserve"> during this reporting period</w:t>
      </w:r>
      <w:r w:rsidR="0079491F" w:rsidRPr="00D305B5">
        <w:t>.</w:t>
      </w:r>
      <w:r w:rsidR="00BB221D" w:rsidRPr="00D305B5">
        <w:t xml:space="preserve">  Service Plans are</w:t>
      </w:r>
      <w:r w:rsidR="0079491F" w:rsidRPr="00D305B5">
        <w:t xml:space="preserve"> review</w:t>
      </w:r>
      <w:r w:rsidR="00BB221D" w:rsidRPr="00D305B5">
        <w:t>ed</w:t>
      </w:r>
      <w:r w:rsidR="0079491F" w:rsidRPr="00D305B5">
        <w:t xml:space="preserve"> at the </w:t>
      </w:r>
      <w:r w:rsidR="00457BB6" w:rsidRPr="00D305B5">
        <w:t>CMHC</w:t>
      </w:r>
      <w:r w:rsidR="0079491F" w:rsidRPr="00D305B5">
        <w:t xml:space="preserve"> against set indicators developed by DMH before the </w:t>
      </w:r>
      <w:r w:rsidR="00BB221D" w:rsidRPr="00D305B5">
        <w:t>initial</w:t>
      </w:r>
      <w:r w:rsidR="0079491F" w:rsidRPr="00D305B5">
        <w:t xml:space="preserve"> 30</w:t>
      </w:r>
      <w:r w:rsidR="00122132" w:rsidRPr="00D305B5">
        <w:t>-</w:t>
      </w:r>
      <w:r w:rsidR="0079491F" w:rsidRPr="00D305B5">
        <w:t>day post</w:t>
      </w:r>
      <w:r w:rsidR="00BB221D" w:rsidRPr="00D305B5">
        <w:t>-</w:t>
      </w:r>
      <w:r w:rsidR="0079491F" w:rsidRPr="00D305B5">
        <w:t xml:space="preserve">transition contact with the Class Member.  </w:t>
      </w:r>
      <w:r w:rsidR="00BB221D" w:rsidRPr="00D305B5">
        <w:t>In instances where a deficiency is noted, the Quality Monitor requests revisions to the SP to ensure it meets the required indicators.  The number of revisions is not currently tracked, but during FY19 data will be gathered to indicate the number of SPs that require revisions.</w:t>
      </w:r>
      <w:r w:rsidR="00122132">
        <w:t xml:space="preserve"> </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SP not limited by current availability of CB services and settings; provided, however, that nothing in this subparagraph obligates Defendants to provide any type of CB service beyond the types of CB services included in the State Plan and Rule 132.</w:t>
      </w:r>
    </w:p>
    <w:p w:rsidR="00C6740F" w:rsidRPr="001F7268" w:rsidRDefault="00E04E2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1F7268">
        <w:t xml:space="preserve">Community Agencies base CM service plans on the services and supports currently available under the State Plan and Rule 132.  To the extent a covered service is not available in a </w:t>
      </w:r>
      <w:proofErr w:type="gramStart"/>
      <w:r w:rsidRPr="001F7268">
        <w:t>particular geographic</w:t>
      </w:r>
      <w:proofErr w:type="gramEnd"/>
      <w:r w:rsidRPr="001F7268">
        <w:t xml:space="preserve"> area or there are other constraints on the provision of such services, the Community Agency works with DMH and others to identify alternative options and/or services or explore other providers and/or geographic areas.  </w:t>
      </w:r>
      <w:r w:rsidR="00BB221D">
        <w:t xml:space="preserve">  In instances where a CM is unable to transition due to the unavailability of services in a </w:t>
      </w:r>
      <w:proofErr w:type="gramStart"/>
      <w:r w:rsidR="00BB221D">
        <w:t>particular geographic</w:t>
      </w:r>
      <w:proofErr w:type="gramEnd"/>
      <w:r w:rsidR="00BB221D">
        <w:t xml:space="preserve"> area, the CM is offered a choice of 3 additional geographic areas for transition in which the specified service is available.  As of June 30, 2018, there were 25 CM who were unable to transition due to the</w:t>
      </w:r>
      <w:r w:rsidR="00266B05">
        <w:t xml:space="preserve"> lack of a</w:t>
      </w:r>
      <w:r w:rsidR="00BB221D">
        <w:t xml:space="preserve"> service in their chosen geographical area.  Of those 25, 3 identified a second geographic preference.  Additional data on outcomes for individuals unable to obtain services will be gathered during FY19 for future reports. </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SP shall be completed within sufficient time to provide appropriate and sufficient transitions for CMs in accordance with benchmarks set forth in the Decree.</w:t>
      </w:r>
    </w:p>
    <w:p w:rsidR="00C6740F" w:rsidRPr="001F7268" w:rsidRDefault="00E04E2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1F7268">
        <w:t xml:space="preserve">As the creation of Service Plans has shifted directly to the Community Agency, timeliness of Service Preparation is no longer viewed as a potential issue impeding a CM’s transition.  Rather, the Community Agency </w:t>
      </w:r>
      <w:proofErr w:type="gramStart"/>
      <w:r w:rsidRPr="001F7268">
        <w:t>is able to</w:t>
      </w:r>
      <w:proofErr w:type="gramEnd"/>
      <w:r w:rsidRPr="001F7268">
        <w:t xml:space="preserve"> determine within its own operational and functional needs, the best and most efficient timing for Service Plan creation.</w:t>
      </w:r>
      <w:r w:rsidR="00122132">
        <w:t xml:space="preserve"> There is no existing database to indicate the timeliness of service plan completion.</w:t>
      </w:r>
      <w:r w:rsidR="00D16BD7">
        <w:t xml:space="preserve">  However, for FY19, data will be gathered on the length of time for Service Plan development.</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Within 5 years of the finalization of the IP, all CMs who have been assessed as appropriate for living in a CB setting will be offered the opportunity to move to a CB setting.</w:t>
      </w:r>
    </w:p>
    <w:p w:rsidR="00D678D0" w:rsidRDefault="00E04E2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1F7268">
        <w:t xml:space="preserve">While efforts have consistently been made to ensure all CMs assessed as appropriate for transition are able to move into a Community-Based Setting, there remain a small subsection of CM whose current needs exceed that of what a community placement can address.  As such, DMH has created the CAST system to further examine the needs of these CM, identify potential alternatives to serving these individuals in the community if appropriate and continue to reassess these individuals to ensure that once they are truly appropriate for transition, they are able to do so in a timely manner.  See additional information re: CAST in subsequent sections. </w:t>
      </w:r>
      <w:r w:rsidR="00122132">
        <w:t xml:space="preserve"> In FY18, there were 1</w:t>
      </w:r>
      <w:r w:rsidR="00960811">
        <w:t>,</w:t>
      </w:r>
      <w:r w:rsidR="00122132">
        <w:t>038 Class Members</w:t>
      </w:r>
      <w:r w:rsidR="00960811">
        <w:t xml:space="preserve"> who were</w:t>
      </w:r>
      <w:r w:rsidR="00122132">
        <w:t xml:space="preserve"> approved for transition.  </w:t>
      </w:r>
      <w:r w:rsidR="00960811">
        <w:t>The actual FY18 transition number is 315.   Out of the 315 Class Members who transitioned, 138 Class Members were</w:t>
      </w:r>
      <w:r w:rsidR="00D678D0">
        <w:t xml:space="preserve"> approved</w:t>
      </w:r>
      <w:r w:rsidR="00960811">
        <w:t xml:space="preserve"> </w:t>
      </w:r>
      <w:r w:rsidR="00960811" w:rsidRPr="00D678D0">
        <w:rPr>
          <w:b/>
        </w:rPr>
        <w:t>PRIOR</w:t>
      </w:r>
      <w:r w:rsidR="00960811">
        <w:t xml:space="preserve"> to FY18.  177</w:t>
      </w:r>
      <w:r w:rsidR="00D16BD7">
        <w:t xml:space="preserve"> of the FY18 transitions were for</w:t>
      </w:r>
      <w:r w:rsidR="00960811">
        <w:t xml:space="preserve"> Class </w:t>
      </w:r>
      <w:r w:rsidR="00D678D0">
        <w:t>M</w:t>
      </w:r>
      <w:r w:rsidR="00960811">
        <w:t xml:space="preserve">embers approved </w:t>
      </w:r>
      <w:r w:rsidR="00960811" w:rsidRPr="00D678D0">
        <w:rPr>
          <w:b/>
        </w:rPr>
        <w:t>IN</w:t>
      </w:r>
      <w:r w:rsidR="00960811">
        <w:t xml:space="preserve"> FY18.    </w:t>
      </w:r>
      <w:r w:rsidR="00D678D0">
        <w:t xml:space="preserve"> The below </w:t>
      </w:r>
      <w:r w:rsidR="00520EAD">
        <w:t>chart</w:t>
      </w:r>
      <w:r w:rsidR="00D678D0">
        <w:t xml:space="preserve"> is an account of the remaining 861 Class Members approved FY18:</w:t>
      </w:r>
    </w:p>
    <w:tbl>
      <w:tblPr>
        <w:tblStyle w:val="TableGrid"/>
        <w:tblW w:w="0" w:type="auto"/>
        <w:tblInd w:w="2425" w:type="dxa"/>
        <w:tblLook w:val="04A0" w:firstRow="1" w:lastRow="0" w:firstColumn="1" w:lastColumn="0" w:noHBand="0" w:noVBand="1"/>
      </w:tblPr>
      <w:tblGrid>
        <w:gridCol w:w="3240"/>
        <w:gridCol w:w="2340"/>
      </w:tblGrid>
      <w:tr w:rsidR="00D678D0" w:rsidTr="00D678D0">
        <w:tc>
          <w:tcPr>
            <w:tcW w:w="3240" w:type="dxa"/>
          </w:tcPr>
          <w:p w:rsidR="00D678D0" w:rsidRDefault="00D678D0" w:rsidP="00D678D0">
            <w:pPr>
              <w:jc w:val="center"/>
            </w:pPr>
            <w:r>
              <w:t>Status</w:t>
            </w:r>
          </w:p>
        </w:tc>
        <w:tc>
          <w:tcPr>
            <w:tcW w:w="2340" w:type="dxa"/>
          </w:tcPr>
          <w:p w:rsidR="00D678D0" w:rsidRDefault="00D678D0" w:rsidP="00D678D0">
            <w:pPr>
              <w:jc w:val="center"/>
            </w:pPr>
            <w:r>
              <w:t>Count</w:t>
            </w:r>
          </w:p>
        </w:tc>
      </w:tr>
      <w:tr w:rsidR="00D678D0" w:rsidTr="00D678D0">
        <w:tc>
          <w:tcPr>
            <w:tcW w:w="3240" w:type="dxa"/>
          </w:tcPr>
          <w:p w:rsidR="00D678D0" w:rsidRDefault="00D678D0" w:rsidP="00C6740F">
            <w:r>
              <w:t>CAST (financial, medical and MH)</w:t>
            </w:r>
          </w:p>
        </w:tc>
        <w:tc>
          <w:tcPr>
            <w:tcW w:w="2340" w:type="dxa"/>
          </w:tcPr>
          <w:p w:rsidR="00D678D0" w:rsidRDefault="00D678D0" w:rsidP="00D678D0">
            <w:pPr>
              <w:jc w:val="center"/>
            </w:pPr>
            <w:r>
              <w:t>103</w:t>
            </w:r>
          </w:p>
        </w:tc>
      </w:tr>
      <w:tr w:rsidR="00D678D0" w:rsidTr="00D678D0">
        <w:tc>
          <w:tcPr>
            <w:tcW w:w="3240" w:type="dxa"/>
          </w:tcPr>
          <w:p w:rsidR="00D678D0" w:rsidRDefault="00D678D0" w:rsidP="00C6740F">
            <w:r>
              <w:t>Declined</w:t>
            </w:r>
          </w:p>
        </w:tc>
        <w:tc>
          <w:tcPr>
            <w:tcW w:w="2340" w:type="dxa"/>
          </w:tcPr>
          <w:p w:rsidR="00D678D0" w:rsidRDefault="00D678D0" w:rsidP="00D678D0">
            <w:pPr>
              <w:jc w:val="center"/>
            </w:pPr>
            <w:r>
              <w:t>134</w:t>
            </w:r>
          </w:p>
        </w:tc>
      </w:tr>
      <w:tr w:rsidR="00D678D0" w:rsidTr="00D678D0">
        <w:tc>
          <w:tcPr>
            <w:tcW w:w="3240" w:type="dxa"/>
          </w:tcPr>
          <w:p w:rsidR="00D678D0" w:rsidRDefault="00D678D0" w:rsidP="00C6740F">
            <w:r>
              <w:t>Hold (funding, legal, medical)</w:t>
            </w:r>
          </w:p>
        </w:tc>
        <w:tc>
          <w:tcPr>
            <w:tcW w:w="2340" w:type="dxa"/>
          </w:tcPr>
          <w:p w:rsidR="00D678D0" w:rsidRDefault="00D678D0" w:rsidP="00D678D0">
            <w:pPr>
              <w:jc w:val="center"/>
            </w:pPr>
            <w:r>
              <w:t>109</w:t>
            </w:r>
          </w:p>
        </w:tc>
      </w:tr>
      <w:tr w:rsidR="00D678D0" w:rsidTr="00D678D0">
        <w:tc>
          <w:tcPr>
            <w:tcW w:w="3240" w:type="dxa"/>
          </w:tcPr>
          <w:p w:rsidR="00D678D0" w:rsidRDefault="00D678D0" w:rsidP="00C6740F">
            <w:r>
              <w:t>Housing Search</w:t>
            </w:r>
          </w:p>
        </w:tc>
        <w:tc>
          <w:tcPr>
            <w:tcW w:w="2340" w:type="dxa"/>
          </w:tcPr>
          <w:p w:rsidR="00D678D0" w:rsidRDefault="00D678D0" w:rsidP="00D678D0">
            <w:pPr>
              <w:jc w:val="center"/>
            </w:pPr>
            <w:r>
              <w:t>30</w:t>
            </w:r>
          </w:p>
        </w:tc>
      </w:tr>
      <w:tr w:rsidR="00D678D0" w:rsidTr="00D678D0">
        <w:tc>
          <w:tcPr>
            <w:tcW w:w="3240" w:type="dxa"/>
          </w:tcPr>
          <w:p w:rsidR="00D678D0" w:rsidRDefault="00D678D0" w:rsidP="00C6740F">
            <w:r>
              <w:t>Inaccessible (deceased, refused, unable to locate)</w:t>
            </w:r>
          </w:p>
        </w:tc>
        <w:tc>
          <w:tcPr>
            <w:tcW w:w="2340" w:type="dxa"/>
          </w:tcPr>
          <w:p w:rsidR="00D678D0" w:rsidRDefault="00D678D0" w:rsidP="00D678D0">
            <w:pPr>
              <w:jc w:val="center"/>
            </w:pPr>
            <w:r>
              <w:t>111</w:t>
            </w:r>
          </w:p>
        </w:tc>
      </w:tr>
      <w:tr w:rsidR="00D678D0" w:rsidTr="00D678D0">
        <w:tc>
          <w:tcPr>
            <w:tcW w:w="3240" w:type="dxa"/>
          </w:tcPr>
          <w:p w:rsidR="00D678D0" w:rsidRDefault="00D678D0" w:rsidP="00C6740F">
            <w:r>
              <w:t>Referred to CCRP</w:t>
            </w:r>
          </w:p>
        </w:tc>
        <w:tc>
          <w:tcPr>
            <w:tcW w:w="2340" w:type="dxa"/>
          </w:tcPr>
          <w:p w:rsidR="00D678D0" w:rsidRDefault="00D678D0" w:rsidP="00D678D0">
            <w:pPr>
              <w:jc w:val="center"/>
            </w:pPr>
            <w:r>
              <w:t>38</w:t>
            </w:r>
          </w:p>
        </w:tc>
      </w:tr>
      <w:tr w:rsidR="00D678D0" w:rsidTr="00D678D0">
        <w:tc>
          <w:tcPr>
            <w:tcW w:w="3240" w:type="dxa"/>
          </w:tcPr>
          <w:p w:rsidR="00D678D0" w:rsidRDefault="00D678D0" w:rsidP="00C6740F">
            <w:r>
              <w:t>Pipeline</w:t>
            </w:r>
          </w:p>
        </w:tc>
        <w:tc>
          <w:tcPr>
            <w:tcW w:w="2340" w:type="dxa"/>
          </w:tcPr>
          <w:p w:rsidR="00D678D0" w:rsidRDefault="00D678D0" w:rsidP="00D678D0">
            <w:pPr>
              <w:jc w:val="center"/>
            </w:pPr>
            <w:r>
              <w:t>336</w:t>
            </w:r>
          </w:p>
        </w:tc>
      </w:tr>
      <w:tr w:rsidR="00D678D0" w:rsidTr="00D678D0">
        <w:tc>
          <w:tcPr>
            <w:tcW w:w="3240" w:type="dxa"/>
          </w:tcPr>
          <w:p w:rsidR="00D678D0" w:rsidRDefault="00D678D0" w:rsidP="00C6740F"/>
        </w:tc>
        <w:tc>
          <w:tcPr>
            <w:tcW w:w="2340" w:type="dxa"/>
          </w:tcPr>
          <w:p w:rsidR="00D678D0" w:rsidRDefault="00D678D0" w:rsidP="00D678D0">
            <w:pPr>
              <w:jc w:val="center"/>
            </w:pPr>
          </w:p>
        </w:tc>
      </w:tr>
      <w:tr w:rsidR="00D678D0" w:rsidTr="00D678D0">
        <w:tc>
          <w:tcPr>
            <w:tcW w:w="3240" w:type="dxa"/>
          </w:tcPr>
          <w:p w:rsidR="00D678D0" w:rsidRDefault="00D678D0" w:rsidP="00C6740F">
            <w:r>
              <w:t>Total</w:t>
            </w:r>
          </w:p>
        </w:tc>
        <w:tc>
          <w:tcPr>
            <w:tcW w:w="2340" w:type="dxa"/>
          </w:tcPr>
          <w:p w:rsidR="00D678D0" w:rsidRDefault="00D678D0" w:rsidP="00D678D0">
            <w:pPr>
              <w:jc w:val="center"/>
            </w:pPr>
            <w:r>
              <w:t>861</w:t>
            </w:r>
          </w:p>
        </w:tc>
      </w:tr>
      <w:tr w:rsidR="00D678D0" w:rsidTr="00D678D0">
        <w:tc>
          <w:tcPr>
            <w:tcW w:w="3240" w:type="dxa"/>
          </w:tcPr>
          <w:p w:rsidR="00D678D0" w:rsidRDefault="00D678D0" w:rsidP="00C6740F"/>
        </w:tc>
        <w:tc>
          <w:tcPr>
            <w:tcW w:w="2340" w:type="dxa"/>
          </w:tcPr>
          <w:p w:rsidR="00D678D0" w:rsidRDefault="00D678D0" w:rsidP="00D678D0">
            <w:pPr>
              <w:jc w:val="center"/>
            </w:pPr>
          </w:p>
        </w:tc>
      </w:tr>
    </w:tbl>
    <w:p w:rsidR="00C6740F" w:rsidRDefault="00C6740F" w:rsidP="00D678D0">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tabs>
          <w:tab w:val="left" w:pos="6075"/>
        </w:tabs>
        <w:rPr>
          <w:i/>
          <w:sz w:val="24"/>
          <w:szCs w:val="24"/>
        </w:rPr>
      </w:pPr>
      <w:r w:rsidRPr="00C6740F">
        <w:rPr>
          <w:i/>
          <w:sz w:val="24"/>
          <w:szCs w:val="24"/>
        </w:rPr>
        <w:t>Within 1 year of the finalization of the IP, no individual with MI shall be admitted to IMD without pre-screening (PASRR) and an initial SP completed.</w:t>
      </w:r>
    </w:p>
    <w:p w:rsidR="00C6740F" w:rsidRPr="00C05E79" w:rsidRDefault="00634446"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719C5">
        <w:t xml:space="preserve">The </w:t>
      </w:r>
      <w:r w:rsidR="00BC7BA6">
        <w:t>F</w:t>
      </w:r>
      <w:r w:rsidR="00EA4E0C" w:rsidRPr="003719C5">
        <w:t xml:space="preserve">ederal </w:t>
      </w:r>
      <w:r w:rsidR="003265CD" w:rsidRPr="003719C5">
        <w:t>Center for Medicaid</w:t>
      </w:r>
      <w:r w:rsidR="00155CE0">
        <w:t>/Medicare</w:t>
      </w:r>
      <w:r w:rsidR="003265CD" w:rsidRPr="003719C5">
        <w:t xml:space="preserve"> Services (CMS) </w:t>
      </w:r>
      <w:r w:rsidR="000770C1" w:rsidRPr="003719C5">
        <w:t>P</w:t>
      </w:r>
      <w:r w:rsidR="00EA4E0C" w:rsidRPr="003719C5">
        <w:t>re-Admission Screening/Resident Review (P</w:t>
      </w:r>
      <w:r w:rsidR="000770C1" w:rsidRPr="003719C5">
        <w:t>ASRR</w:t>
      </w:r>
      <w:r w:rsidR="00EA4E0C" w:rsidRPr="003719C5">
        <w:t>)</w:t>
      </w:r>
      <w:r w:rsidR="000770C1" w:rsidRPr="003719C5">
        <w:t xml:space="preserve"> </w:t>
      </w:r>
      <w:r w:rsidRPr="003719C5">
        <w:t xml:space="preserve">process </w:t>
      </w:r>
      <w:r w:rsidR="00BC7BA6">
        <w:t>provides screening</w:t>
      </w:r>
      <w:r w:rsidR="00A01998" w:rsidRPr="003719C5">
        <w:t xml:space="preserve"> to determine the appropriate level of care need</w:t>
      </w:r>
      <w:r w:rsidR="00155CE0">
        <w:t>s</w:t>
      </w:r>
      <w:r w:rsidR="00A01998" w:rsidRPr="003719C5">
        <w:t xml:space="preserve"> </w:t>
      </w:r>
      <w:r w:rsidR="000242EB" w:rsidRPr="003719C5">
        <w:t>for any individual seeking or being recommend</w:t>
      </w:r>
      <w:r w:rsidR="003265CD" w:rsidRPr="003719C5">
        <w:t>ed</w:t>
      </w:r>
      <w:r w:rsidR="000242EB" w:rsidRPr="003719C5">
        <w:t xml:space="preserve"> for Long Term Care admission </w:t>
      </w:r>
      <w:r w:rsidR="00A01998" w:rsidRPr="003719C5">
        <w:t xml:space="preserve">(based on criteria of eligibility) </w:t>
      </w:r>
      <w:r w:rsidR="00155CE0">
        <w:t>or who may be</w:t>
      </w:r>
      <w:r w:rsidR="00A01998" w:rsidRPr="003719C5">
        <w:t xml:space="preserve"> </w:t>
      </w:r>
      <w:r w:rsidR="000242EB" w:rsidRPr="003719C5">
        <w:t xml:space="preserve">appropriate </w:t>
      </w:r>
      <w:r w:rsidR="00155CE0">
        <w:t xml:space="preserve">for </w:t>
      </w:r>
      <w:r w:rsidR="00A01998" w:rsidRPr="003719C5">
        <w:t>community diversion</w:t>
      </w:r>
      <w:r w:rsidR="000242EB" w:rsidRPr="003719C5">
        <w:t xml:space="preserve"> alternatives in lieu of LTC</w:t>
      </w:r>
      <w:r w:rsidR="00A01998" w:rsidRPr="003719C5">
        <w:t xml:space="preserve">.  At the time of the </w:t>
      </w:r>
      <w:r w:rsidR="00BC7BA6">
        <w:t>entry of</w:t>
      </w:r>
      <w:r w:rsidR="00A01998" w:rsidRPr="003719C5">
        <w:t xml:space="preserve"> th</w:t>
      </w:r>
      <w:r w:rsidR="00BC7BA6">
        <w:t>e Williams</w:t>
      </w:r>
      <w:r w:rsidR="00A01998" w:rsidRPr="003719C5">
        <w:t xml:space="preserve"> Consent Decree, the twenty-four (24) facilities identified as the source residences of Williams Class Members were licensed as nursing homes</w:t>
      </w:r>
      <w:r w:rsidR="00BC7BA6">
        <w:t xml:space="preserve"> and</w:t>
      </w:r>
      <w:r w:rsidR="00A01998" w:rsidRPr="003719C5">
        <w:t xml:space="preserve"> regulated, surveyed and monitored under the Nursing Home Care Act.  The</w:t>
      </w:r>
      <w:r w:rsidR="000242EB" w:rsidRPr="003719C5">
        <w:t xml:space="preserve"> subsequent</w:t>
      </w:r>
      <w:r w:rsidR="00A01998" w:rsidRPr="003719C5">
        <w:t xml:space="preserve"> c</w:t>
      </w:r>
      <w:r w:rsidR="000242EB" w:rsidRPr="003719C5">
        <w:t>lassification</w:t>
      </w:r>
      <w:r w:rsidR="00A01998" w:rsidRPr="003719C5">
        <w:t xml:space="preserve"> </w:t>
      </w:r>
      <w:r w:rsidRPr="003719C5">
        <w:t xml:space="preserve">of these nursing homes </w:t>
      </w:r>
      <w:r w:rsidR="00A01998" w:rsidRPr="003719C5">
        <w:t xml:space="preserve">as Institutes for Mental Disease (IMD) is a Medicaid </w:t>
      </w:r>
      <w:r w:rsidR="001B545F">
        <w:t>c</w:t>
      </w:r>
      <w:r w:rsidR="00A01998" w:rsidRPr="003719C5">
        <w:t>laims categorization</w:t>
      </w:r>
      <w:r w:rsidR="00BC7BA6">
        <w:t xml:space="preserve"> (meaning</w:t>
      </w:r>
      <w:r w:rsidRPr="003719C5">
        <w:t xml:space="preserve"> 51% or more of the population</w:t>
      </w:r>
      <w:r w:rsidR="007B7719" w:rsidRPr="003719C5">
        <w:t xml:space="preserve"> (between the ages of 22 and 64 years)</w:t>
      </w:r>
      <w:r w:rsidRPr="003719C5">
        <w:t xml:space="preserve"> has a diagnosed mental illness</w:t>
      </w:r>
      <w:r w:rsidR="000242EB" w:rsidRPr="003719C5">
        <w:t>,</w:t>
      </w:r>
      <w:r w:rsidRPr="003719C5">
        <w:t xml:space="preserve"> thus the facility cannot garner Medicaid reimbursement</w:t>
      </w:r>
      <w:r w:rsidR="00BC7BA6">
        <w:t>), but that categorization</w:t>
      </w:r>
      <w:r w:rsidRPr="003719C5">
        <w:t xml:space="preserve"> </w:t>
      </w:r>
      <w:r w:rsidR="00A01998" w:rsidRPr="003719C5">
        <w:t xml:space="preserve">did not differentiate these </w:t>
      </w:r>
      <w:r w:rsidR="007B7719" w:rsidRPr="003719C5">
        <w:t>sites</w:t>
      </w:r>
      <w:r w:rsidR="00A01998" w:rsidRPr="003719C5">
        <w:t xml:space="preserve"> from any other nursing </w:t>
      </w:r>
      <w:r w:rsidR="007B7719" w:rsidRPr="003719C5">
        <w:t>facilities</w:t>
      </w:r>
      <w:r w:rsidRPr="003719C5">
        <w:t xml:space="preserve"> </w:t>
      </w:r>
      <w:r w:rsidR="000242EB" w:rsidRPr="003719C5">
        <w:t xml:space="preserve">licensed </w:t>
      </w:r>
      <w:r w:rsidRPr="003719C5">
        <w:t>under the NF Care Act</w:t>
      </w:r>
      <w:r w:rsidR="00A01998" w:rsidRPr="003719C5">
        <w:t xml:space="preserve">.  Ergo, </w:t>
      </w:r>
      <w:r w:rsidR="000242EB" w:rsidRPr="003719C5">
        <w:t xml:space="preserve">the same </w:t>
      </w:r>
      <w:r w:rsidR="00A01998" w:rsidRPr="003719C5">
        <w:t>PASRR screen</w:t>
      </w:r>
      <w:r w:rsidRPr="003719C5">
        <w:t>ing occur</w:t>
      </w:r>
      <w:r w:rsidR="001B545F">
        <w:t>s</w:t>
      </w:r>
      <w:r w:rsidRPr="003719C5">
        <w:t xml:space="preserve"> </w:t>
      </w:r>
      <w:r w:rsidR="00A01998" w:rsidRPr="003719C5">
        <w:t>whe</w:t>
      </w:r>
      <w:r w:rsidRPr="003719C5">
        <w:t>n</w:t>
      </w:r>
      <w:r w:rsidR="00A01998" w:rsidRPr="003719C5">
        <w:t xml:space="preserve"> </w:t>
      </w:r>
      <w:r w:rsidR="000242EB" w:rsidRPr="003719C5">
        <w:t xml:space="preserve">an individual </w:t>
      </w:r>
      <w:r w:rsidR="001B545F">
        <w:t>is</w:t>
      </w:r>
      <w:r w:rsidR="000242EB" w:rsidRPr="003719C5">
        <w:t xml:space="preserve"> referred for admission to a LTC facility, </w:t>
      </w:r>
      <w:r w:rsidR="007B7719" w:rsidRPr="003719C5">
        <w:t xml:space="preserve">either </w:t>
      </w:r>
      <w:r w:rsidR="000242EB" w:rsidRPr="003719C5">
        <w:t>NF/</w:t>
      </w:r>
      <w:r w:rsidR="00A01998" w:rsidRPr="003719C5">
        <w:t xml:space="preserve">IMD </w:t>
      </w:r>
      <w:r w:rsidR="00BC7BA6">
        <w:t>or</w:t>
      </w:r>
      <w:r w:rsidR="000242EB" w:rsidRPr="003719C5">
        <w:t xml:space="preserve"> NF/</w:t>
      </w:r>
      <w:r w:rsidR="00A01998" w:rsidRPr="003719C5">
        <w:t>Ski</w:t>
      </w:r>
      <w:r w:rsidR="00434360">
        <w:t xml:space="preserve">lled Nursing Facility (SNF).  </w:t>
      </w:r>
      <w:r w:rsidR="00A01998" w:rsidRPr="003719C5">
        <w:t>The significant differenc</w:t>
      </w:r>
      <w:r w:rsidR="00BC7BA6">
        <w:t>e between an IMD and SNF</w:t>
      </w:r>
      <w:r w:rsidR="00A01998" w:rsidRPr="003719C5">
        <w:t xml:space="preserve"> is that </w:t>
      </w:r>
      <w:r w:rsidR="007B7719" w:rsidRPr="003719C5">
        <w:t xml:space="preserve">a </w:t>
      </w:r>
      <w:r w:rsidR="00A01998" w:rsidRPr="003719C5">
        <w:t xml:space="preserve">SNF </w:t>
      </w:r>
      <w:r w:rsidR="000242EB" w:rsidRPr="003719C5">
        <w:t xml:space="preserve">may </w:t>
      </w:r>
      <w:r w:rsidR="00A01998" w:rsidRPr="003719C5">
        <w:t xml:space="preserve">address a higher acuity of medical complications and co-occurring medical issues. </w:t>
      </w:r>
      <w:r w:rsidR="000242EB" w:rsidRPr="003719C5">
        <w:t xml:space="preserve"> Referrals by hospital discharge planners to a SNF and NF/IMD had the same frequency based on bed availability. </w:t>
      </w:r>
      <w:r w:rsidRPr="003719C5">
        <w:t>Approximately 98% of admissions to IMD/SMHRF are with a</w:t>
      </w:r>
      <w:r w:rsidR="007B7719" w:rsidRPr="003719C5">
        <w:t xml:space="preserve"> completed</w:t>
      </w:r>
      <w:r w:rsidRPr="003719C5">
        <w:t xml:space="preserve"> PASRR</w:t>
      </w:r>
      <w:r w:rsidR="00BC7BA6">
        <w:t xml:space="preserve"> screen</w:t>
      </w:r>
      <w:r w:rsidRPr="003719C5">
        <w:t xml:space="preserve">.  The small </w:t>
      </w:r>
      <w:r w:rsidR="00BC7BA6">
        <w:t>percentage</w:t>
      </w:r>
      <w:r w:rsidR="00BC7BA6" w:rsidRPr="003719C5">
        <w:t xml:space="preserve"> </w:t>
      </w:r>
      <w:r w:rsidR="000242EB" w:rsidRPr="003719C5">
        <w:t>of admissions to IMD/SMHRF</w:t>
      </w:r>
      <w:r w:rsidR="00BC7BA6">
        <w:t xml:space="preserve"> without a </w:t>
      </w:r>
      <w:r w:rsidR="000242EB" w:rsidRPr="003719C5">
        <w:t>PASRR</w:t>
      </w:r>
      <w:r w:rsidRPr="003719C5">
        <w:t xml:space="preserve"> </w:t>
      </w:r>
      <w:r w:rsidR="003265CD" w:rsidRPr="003719C5">
        <w:t xml:space="preserve">screen </w:t>
      </w:r>
      <w:r w:rsidRPr="003719C5">
        <w:t xml:space="preserve">is </w:t>
      </w:r>
      <w:r w:rsidR="00BC7BA6">
        <w:t>largely attributable to individuals who transferred into the IMD/SMHRF from a SNF.</w:t>
      </w:r>
      <w:r w:rsidR="007B7719" w:rsidRPr="003719C5">
        <w:t xml:space="preserve">  </w:t>
      </w:r>
      <w:r w:rsidR="00BC7BA6">
        <w:t xml:space="preserve">In those instances, the </w:t>
      </w:r>
      <w:r w:rsidR="007B7719" w:rsidRPr="003719C5">
        <w:t>individuals have been</w:t>
      </w:r>
      <w:r w:rsidRPr="003719C5">
        <w:t xml:space="preserve"> screened by a Case Coordination Unit (CCU) and found eligible for NF level of care with a DON score of 29 or greater</w:t>
      </w:r>
      <w:r w:rsidR="001B545F">
        <w:t>,</w:t>
      </w:r>
      <w:r w:rsidR="007B7719" w:rsidRPr="003719C5">
        <w:t xml:space="preserve"> then subsequently transferred </w:t>
      </w:r>
      <w:r w:rsidRPr="003719C5">
        <w:t>to a IMD/SMHRF</w:t>
      </w:r>
      <w:r w:rsidR="003265CD" w:rsidRPr="003719C5">
        <w:t xml:space="preserve">.  </w:t>
      </w:r>
      <w:r w:rsidRPr="003719C5">
        <w:t xml:space="preserve"> </w:t>
      </w:r>
      <w:r w:rsidR="00BC7BA6">
        <w:t>Pursuant to current</w:t>
      </w:r>
      <w:r w:rsidR="003265CD" w:rsidRPr="003719C5">
        <w:t xml:space="preserve"> federal regulations, NF residents do not need to be rescreened to transfer between facilities.   As the IMD/SMHRFs are no longer classified as nursing homes, this process must be changed.  It </w:t>
      </w:r>
      <w:r w:rsidR="00BC7BA6">
        <w:t xml:space="preserve">should be </w:t>
      </w:r>
      <w:r w:rsidR="003265CD" w:rsidRPr="003719C5">
        <w:t xml:space="preserve">noted </w:t>
      </w:r>
      <w:r w:rsidR="00BC7BA6">
        <w:t xml:space="preserve">that the Williams FY19 Implementation Plan includes reference to a larger review of the entire PAS system, including potential revisions to PASRR.  </w:t>
      </w:r>
      <w:r w:rsidR="0046363F">
        <w:t>Finally,</w:t>
      </w:r>
      <w:r w:rsidR="00BC7BA6">
        <w:t xml:space="preserve"> it should be noted that </w:t>
      </w:r>
      <w:r w:rsidR="007B7719" w:rsidRPr="003719C5">
        <w:t>PASRR does not complete the initial Service Plan (SP)</w:t>
      </w:r>
      <w:r w:rsidR="003719C5">
        <w:t xml:space="preserve">, </w:t>
      </w:r>
      <w:r w:rsidR="00BC7BA6">
        <w:t xml:space="preserve">rather </w:t>
      </w:r>
      <w:r w:rsidR="003719C5">
        <w:t>the</w:t>
      </w:r>
      <w:r w:rsidR="001B545F">
        <w:t>ir</w:t>
      </w:r>
      <w:r w:rsidR="003719C5">
        <w:t xml:space="preserve"> function is to </w:t>
      </w:r>
      <w:r w:rsidR="007B7719" w:rsidRPr="003719C5">
        <w:t>make service need recommendations.</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will ensure that the PASSR Process: identifies and assesses individuals appropriate for CB setting; identifies CB services that would facilitate that placement; and ensures that approved IMD admissions are only for those IMDs that can provide TX consistent with the individual's SP and consistent with the goal of transition to CB setting.</w:t>
      </w:r>
    </w:p>
    <w:p w:rsidR="00C6740F" w:rsidRPr="00C05E79" w:rsidRDefault="007B771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C05E79">
        <w:t xml:space="preserve">Addressed and </w:t>
      </w:r>
      <w:r w:rsidR="00E87C1D">
        <w:t>d</w:t>
      </w:r>
      <w:r w:rsidRPr="00C05E79">
        <w:t>escribed in the above narrative.</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After the first 5 years following the finalization of the IP, no individual with MI whose SP provides for placement in CB settings shall be housed or offered placement in IMD at public expense unless, after being fully informed, he/she declines opportunity to receive services in CB setting.</w:t>
      </w:r>
    </w:p>
    <w:p w:rsidR="00305B35" w:rsidRPr="00305B35" w:rsidRDefault="00793509" w:rsidP="00520F9D">
      <w:pPr>
        <w:pStyle w:val="Default"/>
        <w:spacing w:line="276" w:lineRule="auto"/>
        <w:rPr>
          <w:sz w:val="22"/>
          <w:szCs w:val="22"/>
        </w:rPr>
      </w:pPr>
      <w:r w:rsidRPr="00793509">
        <w:rPr>
          <w:sz w:val="22"/>
          <w:szCs w:val="22"/>
        </w:rPr>
        <w:t xml:space="preserve">This </w:t>
      </w:r>
      <w:r w:rsidRPr="00C05E79">
        <w:rPr>
          <w:sz w:val="22"/>
          <w:szCs w:val="22"/>
        </w:rPr>
        <w:t>Diversion P</w:t>
      </w:r>
      <w:r w:rsidRPr="00793509">
        <w:rPr>
          <w:sz w:val="22"/>
          <w:szCs w:val="22"/>
        </w:rPr>
        <w:t xml:space="preserve">roject is available to individuals who </w:t>
      </w:r>
      <w:r w:rsidRPr="00C05E79">
        <w:rPr>
          <w:sz w:val="22"/>
          <w:szCs w:val="22"/>
        </w:rPr>
        <w:t xml:space="preserve">have been screened by a recognized </w:t>
      </w:r>
      <w:r w:rsidRPr="00793509">
        <w:rPr>
          <w:sz w:val="22"/>
          <w:szCs w:val="22"/>
        </w:rPr>
        <w:t xml:space="preserve">PASRR </w:t>
      </w:r>
      <w:r w:rsidRPr="00C05E79">
        <w:rPr>
          <w:sz w:val="22"/>
          <w:szCs w:val="22"/>
        </w:rPr>
        <w:t>agent and</w:t>
      </w:r>
      <w:r w:rsidRPr="00793509">
        <w:rPr>
          <w:sz w:val="22"/>
          <w:szCs w:val="22"/>
        </w:rPr>
        <w:t xml:space="preserve"> determine</w:t>
      </w:r>
      <w:r w:rsidRPr="00C05E79">
        <w:rPr>
          <w:sz w:val="22"/>
          <w:szCs w:val="22"/>
        </w:rPr>
        <w:t>d to</w:t>
      </w:r>
      <w:r w:rsidRPr="00793509">
        <w:rPr>
          <w:sz w:val="22"/>
          <w:szCs w:val="22"/>
        </w:rPr>
        <w:t xml:space="preserve"> require a Nursing Facility level of care.</w:t>
      </w:r>
      <w:r w:rsidRPr="00C05E79">
        <w:rPr>
          <w:sz w:val="22"/>
          <w:szCs w:val="22"/>
        </w:rPr>
        <w:t xml:space="preserve">  These individuals subsequently agree </w:t>
      </w:r>
      <w:r w:rsidR="001B545F">
        <w:rPr>
          <w:sz w:val="22"/>
          <w:szCs w:val="22"/>
        </w:rPr>
        <w:t>to</w:t>
      </w:r>
      <w:r w:rsidRPr="00C05E79">
        <w:rPr>
          <w:sz w:val="22"/>
          <w:szCs w:val="22"/>
        </w:rPr>
        <w:t xml:space="preserve"> </w:t>
      </w:r>
      <w:r w:rsidRPr="00793509">
        <w:rPr>
          <w:sz w:val="22"/>
          <w:szCs w:val="22"/>
        </w:rPr>
        <w:t xml:space="preserve">accept </w:t>
      </w:r>
      <w:r w:rsidR="00425C64">
        <w:rPr>
          <w:sz w:val="22"/>
          <w:szCs w:val="22"/>
        </w:rPr>
        <w:t>C</w:t>
      </w:r>
      <w:r w:rsidRPr="00793509">
        <w:rPr>
          <w:sz w:val="22"/>
          <w:szCs w:val="22"/>
        </w:rPr>
        <w:t>ommunity</w:t>
      </w:r>
      <w:r w:rsidRPr="00C05E79">
        <w:rPr>
          <w:sz w:val="22"/>
          <w:szCs w:val="22"/>
        </w:rPr>
        <w:t>-</w:t>
      </w:r>
      <w:r w:rsidR="00425C64">
        <w:rPr>
          <w:sz w:val="22"/>
          <w:szCs w:val="22"/>
        </w:rPr>
        <w:t>B</w:t>
      </w:r>
      <w:r w:rsidRPr="00793509">
        <w:rPr>
          <w:sz w:val="22"/>
          <w:szCs w:val="22"/>
        </w:rPr>
        <w:t xml:space="preserve">ased discharge </w:t>
      </w:r>
      <w:r w:rsidR="001B545F">
        <w:rPr>
          <w:sz w:val="22"/>
          <w:szCs w:val="22"/>
        </w:rPr>
        <w:t xml:space="preserve">and </w:t>
      </w:r>
      <w:r w:rsidRPr="00793509">
        <w:rPr>
          <w:sz w:val="22"/>
          <w:szCs w:val="22"/>
        </w:rPr>
        <w:t>service plan</w:t>
      </w:r>
      <w:r w:rsidR="001B545F">
        <w:rPr>
          <w:sz w:val="22"/>
          <w:szCs w:val="22"/>
        </w:rPr>
        <w:t>ning</w:t>
      </w:r>
      <w:r w:rsidRPr="00793509">
        <w:rPr>
          <w:sz w:val="22"/>
          <w:szCs w:val="22"/>
        </w:rPr>
        <w:t xml:space="preserve"> as an alternative to </w:t>
      </w:r>
      <w:r w:rsidRPr="00C05E79">
        <w:rPr>
          <w:sz w:val="22"/>
          <w:szCs w:val="22"/>
        </w:rPr>
        <w:t>Long Term Care admission.</w:t>
      </w:r>
      <w:r w:rsidRPr="00793509">
        <w:rPr>
          <w:sz w:val="22"/>
          <w:szCs w:val="22"/>
        </w:rPr>
        <w:t xml:space="preserve"> </w:t>
      </w:r>
      <w:r w:rsidRPr="00C05E79">
        <w:rPr>
          <w:sz w:val="22"/>
          <w:szCs w:val="22"/>
        </w:rPr>
        <w:t xml:space="preserve"> </w:t>
      </w:r>
      <w:r w:rsidRPr="00793509">
        <w:rPr>
          <w:sz w:val="22"/>
          <w:szCs w:val="22"/>
        </w:rPr>
        <w:t xml:space="preserve">The project’s overall purpose is to have an established Community Mental Health </w:t>
      </w:r>
      <w:r w:rsidRPr="00C05E79">
        <w:rPr>
          <w:sz w:val="22"/>
          <w:szCs w:val="22"/>
        </w:rPr>
        <w:t xml:space="preserve">Center </w:t>
      </w:r>
      <w:r w:rsidRPr="00793509">
        <w:rPr>
          <w:sz w:val="22"/>
          <w:szCs w:val="22"/>
        </w:rPr>
        <w:t xml:space="preserve">evaluate Medicaid (active) eligible individuals upon referral </w:t>
      </w:r>
      <w:r w:rsidRPr="00C05E79">
        <w:rPr>
          <w:sz w:val="22"/>
          <w:szCs w:val="22"/>
        </w:rPr>
        <w:t>for c</w:t>
      </w:r>
      <w:r w:rsidR="00434360">
        <w:rPr>
          <w:sz w:val="22"/>
          <w:szCs w:val="22"/>
        </w:rPr>
        <w:t>ommunity service alternatives.</w:t>
      </w:r>
      <w:r w:rsidRPr="00C05E79">
        <w:rPr>
          <w:sz w:val="22"/>
          <w:szCs w:val="22"/>
        </w:rPr>
        <w:t xml:space="preserve"> As designed in the project, o</w:t>
      </w:r>
      <w:r w:rsidRPr="00793509">
        <w:rPr>
          <w:sz w:val="22"/>
          <w:szCs w:val="22"/>
        </w:rPr>
        <w:t xml:space="preserve">nce the PASRR screener receives a referral they contact the </w:t>
      </w:r>
      <w:r w:rsidRPr="00C05E79">
        <w:rPr>
          <w:sz w:val="22"/>
          <w:szCs w:val="22"/>
        </w:rPr>
        <w:t>Diversion Project</w:t>
      </w:r>
      <w:r w:rsidRPr="00793509">
        <w:rPr>
          <w:sz w:val="22"/>
          <w:szCs w:val="22"/>
        </w:rPr>
        <w:t xml:space="preserve"> </w:t>
      </w:r>
      <w:r w:rsidRPr="00C05E79">
        <w:rPr>
          <w:sz w:val="22"/>
          <w:szCs w:val="22"/>
        </w:rPr>
        <w:t>CMHC</w:t>
      </w:r>
      <w:r w:rsidRPr="00793509">
        <w:rPr>
          <w:sz w:val="22"/>
          <w:szCs w:val="22"/>
        </w:rPr>
        <w:t xml:space="preserve"> to initiate a</w:t>
      </w:r>
      <w:r w:rsidRPr="00C05E79">
        <w:rPr>
          <w:sz w:val="22"/>
          <w:szCs w:val="22"/>
        </w:rPr>
        <w:t>n</w:t>
      </w:r>
      <w:r w:rsidRPr="00793509">
        <w:rPr>
          <w:sz w:val="22"/>
          <w:szCs w:val="22"/>
        </w:rPr>
        <w:t xml:space="preserve"> assessment. Participating </w:t>
      </w:r>
      <w:r w:rsidRPr="00C05E79">
        <w:rPr>
          <w:sz w:val="22"/>
          <w:szCs w:val="22"/>
        </w:rPr>
        <w:t>CMHCs</w:t>
      </w:r>
      <w:r w:rsidRPr="00793509">
        <w:rPr>
          <w:sz w:val="22"/>
          <w:szCs w:val="22"/>
        </w:rPr>
        <w:t xml:space="preserve"> </w:t>
      </w:r>
      <w:r w:rsidRPr="00C05E79">
        <w:rPr>
          <w:sz w:val="22"/>
          <w:szCs w:val="22"/>
        </w:rPr>
        <w:t xml:space="preserve">can </w:t>
      </w:r>
      <w:r w:rsidR="00425C64">
        <w:rPr>
          <w:sz w:val="22"/>
          <w:szCs w:val="22"/>
        </w:rPr>
        <w:t xml:space="preserve">often </w:t>
      </w:r>
      <w:r w:rsidRPr="00C05E79">
        <w:rPr>
          <w:sz w:val="22"/>
          <w:szCs w:val="22"/>
        </w:rPr>
        <w:t>conduct</w:t>
      </w:r>
      <w:r w:rsidRPr="00793509">
        <w:rPr>
          <w:sz w:val="22"/>
          <w:szCs w:val="22"/>
        </w:rPr>
        <w:t xml:space="preserve"> this assessment within </w:t>
      </w:r>
      <w:r w:rsidR="00520F9D">
        <w:rPr>
          <w:sz w:val="22"/>
          <w:szCs w:val="22"/>
        </w:rPr>
        <w:t xml:space="preserve">a </w:t>
      </w:r>
      <w:r w:rsidRPr="00793509">
        <w:rPr>
          <w:sz w:val="22"/>
          <w:szCs w:val="22"/>
        </w:rPr>
        <w:t>24</w:t>
      </w:r>
      <w:r w:rsidR="00520F9D">
        <w:rPr>
          <w:sz w:val="22"/>
          <w:szCs w:val="22"/>
        </w:rPr>
        <w:t>-</w:t>
      </w:r>
      <w:r w:rsidRPr="00793509">
        <w:rPr>
          <w:sz w:val="22"/>
          <w:szCs w:val="22"/>
        </w:rPr>
        <w:t>hour</w:t>
      </w:r>
      <w:r w:rsidR="00425C64">
        <w:rPr>
          <w:sz w:val="22"/>
          <w:szCs w:val="22"/>
        </w:rPr>
        <w:t xml:space="preserve">s </w:t>
      </w:r>
      <w:r w:rsidR="00520F9D">
        <w:rPr>
          <w:sz w:val="22"/>
          <w:szCs w:val="22"/>
        </w:rPr>
        <w:t>from</w:t>
      </w:r>
      <w:r w:rsidRPr="00793509">
        <w:rPr>
          <w:sz w:val="22"/>
          <w:szCs w:val="22"/>
        </w:rPr>
        <w:t xml:space="preserve"> the referral. </w:t>
      </w:r>
      <w:r w:rsidRPr="00C05E79">
        <w:rPr>
          <w:sz w:val="22"/>
          <w:szCs w:val="22"/>
        </w:rPr>
        <w:t>The process is for the</w:t>
      </w:r>
      <w:r w:rsidRPr="00793509">
        <w:rPr>
          <w:sz w:val="22"/>
          <w:szCs w:val="22"/>
        </w:rPr>
        <w:t xml:space="preserve"> agency </w:t>
      </w:r>
      <w:r w:rsidRPr="00C05E79">
        <w:rPr>
          <w:sz w:val="22"/>
          <w:szCs w:val="22"/>
        </w:rPr>
        <w:t xml:space="preserve">to </w:t>
      </w:r>
      <w:r w:rsidRPr="00793509">
        <w:rPr>
          <w:sz w:val="22"/>
          <w:szCs w:val="22"/>
        </w:rPr>
        <w:t>assess</w:t>
      </w:r>
      <w:r w:rsidRPr="00C05E79">
        <w:rPr>
          <w:sz w:val="22"/>
          <w:szCs w:val="22"/>
        </w:rPr>
        <w:t xml:space="preserve"> the</w:t>
      </w:r>
      <w:r w:rsidRPr="00793509">
        <w:rPr>
          <w:sz w:val="22"/>
          <w:szCs w:val="22"/>
        </w:rPr>
        <w:t xml:space="preserve"> individual while </w:t>
      </w:r>
      <w:r w:rsidR="00520F9D">
        <w:rPr>
          <w:sz w:val="22"/>
          <w:szCs w:val="22"/>
        </w:rPr>
        <w:t>he/she is</w:t>
      </w:r>
      <w:r w:rsidRPr="00793509">
        <w:rPr>
          <w:sz w:val="22"/>
          <w:szCs w:val="22"/>
        </w:rPr>
        <w:t xml:space="preserve"> still on the </w:t>
      </w:r>
      <w:r w:rsidR="00425C64">
        <w:rPr>
          <w:sz w:val="22"/>
          <w:szCs w:val="22"/>
        </w:rPr>
        <w:t xml:space="preserve">hospital </w:t>
      </w:r>
      <w:r w:rsidRPr="00793509">
        <w:rPr>
          <w:sz w:val="22"/>
          <w:szCs w:val="22"/>
        </w:rPr>
        <w:t>inpatient unit and determine whether th</w:t>
      </w:r>
      <w:r w:rsidRPr="00C05E79">
        <w:rPr>
          <w:sz w:val="22"/>
          <w:szCs w:val="22"/>
        </w:rPr>
        <w:t>e</w:t>
      </w:r>
      <w:r w:rsidRPr="00793509">
        <w:rPr>
          <w:sz w:val="22"/>
          <w:szCs w:val="22"/>
        </w:rPr>
        <w:t xml:space="preserve"> </w:t>
      </w:r>
      <w:r w:rsidR="00520F9D">
        <w:rPr>
          <w:sz w:val="22"/>
          <w:szCs w:val="22"/>
        </w:rPr>
        <w:t>patient</w:t>
      </w:r>
      <w:r w:rsidRPr="00793509">
        <w:rPr>
          <w:sz w:val="22"/>
          <w:szCs w:val="22"/>
        </w:rPr>
        <w:t xml:space="preserve"> could </w:t>
      </w:r>
      <w:r w:rsidRPr="00C05E79">
        <w:rPr>
          <w:sz w:val="22"/>
          <w:szCs w:val="22"/>
        </w:rPr>
        <w:t xml:space="preserve">best </w:t>
      </w:r>
      <w:r w:rsidRPr="00793509">
        <w:rPr>
          <w:sz w:val="22"/>
          <w:szCs w:val="22"/>
        </w:rPr>
        <w:t>benefit from a community-based discharge plan</w:t>
      </w:r>
      <w:r w:rsidRPr="00C05E79">
        <w:rPr>
          <w:sz w:val="22"/>
          <w:szCs w:val="22"/>
        </w:rPr>
        <w:t>,</w:t>
      </w:r>
      <w:r w:rsidRPr="00793509">
        <w:rPr>
          <w:sz w:val="22"/>
          <w:szCs w:val="22"/>
        </w:rPr>
        <w:t xml:space="preserve"> as developed by that agency. </w:t>
      </w:r>
      <w:r w:rsidRPr="00C05E79">
        <w:rPr>
          <w:sz w:val="22"/>
          <w:szCs w:val="22"/>
        </w:rPr>
        <w:t xml:space="preserve"> </w:t>
      </w:r>
      <w:r w:rsidRPr="00793509">
        <w:rPr>
          <w:sz w:val="22"/>
          <w:szCs w:val="22"/>
        </w:rPr>
        <w:t xml:space="preserve">This discharge plan responds to the clinical and support needs such that an admission to </w:t>
      </w:r>
      <w:r w:rsidR="00C05E79" w:rsidRPr="00C05E79">
        <w:rPr>
          <w:sz w:val="22"/>
          <w:szCs w:val="22"/>
        </w:rPr>
        <w:t>Long Term Care</w:t>
      </w:r>
      <w:r w:rsidRPr="00793509">
        <w:rPr>
          <w:sz w:val="22"/>
          <w:szCs w:val="22"/>
        </w:rPr>
        <w:t xml:space="preserve"> can be avoided. </w:t>
      </w:r>
      <w:r w:rsidR="00C05E79" w:rsidRPr="00C05E79">
        <w:rPr>
          <w:sz w:val="22"/>
          <w:szCs w:val="22"/>
        </w:rPr>
        <w:t xml:space="preserve"> </w:t>
      </w:r>
      <w:r w:rsidRPr="00C05E79">
        <w:rPr>
          <w:sz w:val="22"/>
          <w:szCs w:val="22"/>
        </w:rPr>
        <w:t xml:space="preserve">Upon acceptance of the community-based treatment plan and once </w:t>
      </w:r>
      <w:r w:rsidR="00C05E79" w:rsidRPr="00C05E79">
        <w:rPr>
          <w:sz w:val="22"/>
          <w:szCs w:val="22"/>
        </w:rPr>
        <w:t>discharge occurs</w:t>
      </w:r>
      <w:r w:rsidRPr="00C05E79">
        <w:rPr>
          <w:sz w:val="22"/>
          <w:szCs w:val="22"/>
        </w:rPr>
        <w:t xml:space="preserve">, the </w:t>
      </w:r>
      <w:r w:rsidR="00C05E79" w:rsidRPr="00C05E79">
        <w:rPr>
          <w:sz w:val="22"/>
          <w:szCs w:val="22"/>
        </w:rPr>
        <w:t>CMHC</w:t>
      </w:r>
      <w:r w:rsidRPr="00C05E79">
        <w:rPr>
          <w:sz w:val="22"/>
          <w:szCs w:val="22"/>
        </w:rPr>
        <w:t xml:space="preserve"> engages </w:t>
      </w:r>
      <w:r w:rsidR="00C05E79" w:rsidRPr="00C05E79">
        <w:rPr>
          <w:sz w:val="22"/>
          <w:szCs w:val="22"/>
        </w:rPr>
        <w:t>the individual</w:t>
      </w:r>
      <w:r w:rsidRPr="00C05E79">
        <w:rPr>
          <w:sz w:val="22"/>
          <w:szCs w:val="22"/>
        </w:rPr>
        <w:t xml:space="preserve"> </w:t>
      </w:r>
      <w:r w:rsidRPr="00C05E79">
        <w:rPr>
          <w:bCs/>
          <w:sz w:val="22"/>
          <w:szCs w:val="22"/>
        </w:rPr>
        <w:t>in the recommended community</w:t>
      </w:r>
      <w:r w:rsidR="00C05E79" w:rsidRPr="00C05E79">
        <w:rPr>
          <w:bCs/>
          <w:sz w:val="22"/>
          <w:szCs w:val="22"/>
        </w:rPr>
        <w:t>-</w:t>
      </w:r>
      <w:r w:rsidRPr="00C05E79">
        <w:rPr>
          <w:bCs/>
          <w:sz w:val="22"/>
          <w:szCs w:val="22"/>
        </w:rPr>
        <w:t>based services</w:t>
      </w:r>
      <w:r w:rsidRPr="00C05E79">
        <w:rPr>
          <w:b/>
          <w:bCs/>
          <w:sz w:val="22"/>
          <w:szCs w:val="22"/>
        </w:rPr>
        <w:t xml:space="preserve">. </w:t>
      </w:r>
      <w:r w:rsidRPr="00C05E79">
        <w:rPr>
          <w:sz w:val="22"/>
          <w:szCs w:val="22"/>
        </w:rPr>
        <w:t>In this process, they continually work with the individual upon discharge to ensure that the recommended discharge plan is fully implemented.</w:t>
      </w:r>
      <w:r w:rsidR="00434360">
        <w:rPr>
          <w:sz w:val="22"/>
          <w:szCs w:val="22"/>
        </w:rPr>
        <w:t xml:space="preserve">  </w:t>
      </w:r>
      <w:r w:rsidR="00C05E79" w:rsidRPr="00C05E79">
        <w:rPr>
          <w:sz w:val="22"/>
          <w:szCs w:val="22"/>
        </w:rPr>
        <w:t>This Project has the potential to a) Improve discharge planning from inpatient psychiatric units; b) Increase linkage to state funded</w:t>
      </w:r>
      <w:r w:rsidR="00520F9D">
        <w:rPr>
          <w:sz w:val="22"/>
          <w:szCs w:val="22"/>
        </w:rPr>
        <w:t xml:space="preserve"> or Medicaid billable</w:t>
      </w:r>
      <w:r w:rsidR="00C05E79" w:rsidRPr="00C05E79">
        <w:rPr>
          <w:sz w:val="22"/>
          <w:szCs w:val="22"/>
        </w:rPr>
        <w:t xml:space="preserve"> community-based services; c) Decrease the length of stay </w:t>
      </w:r>
      <w:r w:rsidR="00520F9D">
        <w:rPr>
          <w:sz w:val="22"/>
          <w:szCs w:val="22"/>
        </w:rPr>
        <w:t>on an</w:t>
      </w:r>
      <w:r w:rsidR="00C05E79" w:rsidRPr="00C05E79">
        <w:rPr>
          <w:sz w:val="22"/>
          <w:szCs w:val="22"/>
        </w:rPr>
        <w:t xml:space="preserve"> inpatient psychiatric unit; d) Assist in reducing the hospital re-admission rates</w:t>
      </w:r>
      <w:r w:rsidR="00425C64">
        <w:rPr>
          <w:sz w:val="22"/>
          <w:szCs w:val="22"/>
        </w:rPr>
        <w:t xml:space="preserve">; </w:t>
      </w:r>
      <w:r w:rsidR="00C05E79" w:rsidRPr="00C05E79">
        <w:rPr>
          <w:sz w:val="22"/>
          <w:szCs w:val="22"/>
        </w:rPr>
        <w:t xml:space="preserve">and e) </w:t>
      </w:r>
      <w:r w:rsidR="00305B35">
        <w:rPr>
          <w:sz w:val="22"/>
          <w:szCs w:val="22"/>
        </w:rPr>
        <w:t>P</w:t>
      </w:r>
      <w:r w:rsidR="00C05E79" w:rsidRPr="00C05E79">
        <w:rPr>
          <w:sz w:val="22"/>
          <w:szCs w:val="22"/>
        </w:rPr>
        <w:t xml:space="preserve">rovide safe, clinically-based services that address a broad array of needs. </w:t>
      </w:r>
      <w:r w:rsidR="00305B35">
        <w:rPr>
          <w:sz w:val="22"/>
          <w:szCs w:val="22"/>
        </w:rPr>
        <w:t xml:space="preserve"> </w:t>
      </w:r>
      <w:r w:rsidR="00C05E79" w:rsidRPr="00C05E79">
        <w:rPr>
          <w:sz w:val="22"/>
          <w:szCs w:val="22"/>
        </w:rPr>
        <w:t xml:space="preserve">The culmination of the discharge linkage and community engagement service process is for </w:t>
      </w:r>
      <w:r w:rsidR="001B545F">
        <w:rPr>
          <w:sz w:val="22"/>
          <w:szCs w:val="22"/>
        </w:rPr>
        <w:t xml:space="preserve">the </w:t>
      </w:r>
      <w:r w:rsidR="00305B35">
        <w:rPr>
          <w:sz w:val="22"/>
          <w:szCs w:val="22"/>
        </w:rPr>
        <w:t>Diversion P</w:t>
      </w:r>
      <w:r w:rsidR="00520F9D">
        <w:rPr>
          <w:sz w:val="22"/>
          <w:szCs w:val="22"/>
        </w:rPr>
        <w:t>roject</w:t>
      </w:r>
      <w:r w:rsidR="00C05E79" w:rsidRPr="00C05E79">
        <w:rPr>
          <w:sz w:val="22"/>
          <w:szCs w:val="22"/>
        </w:rPr>
        <w:t xml:space="preserve"> to develop a</w:t>
      </w:r>
      <w:r w:rsidR="00520F9D">
        <w:rPr>
          <w:sz w:val="22"/>
          <w:szCs w:val="22"/>
        </w:rPr>
        <w:t>n individualized</w:t>
      </w:r>
      <w:r w:rsidR="00C05E79" w:rsidRPr="00C05E79">
        <w:rPr>
          <w:sz w:val="22"/>
          <w:szCs w:val="22"/>
        </w:rPr>
        <w:t xml:space="preserve"> discharge plan which: a) Includes a recommendation on clinical services needed; b) Includes a mechanism to ensure </w:t>
      </w:r>
      <w:r w:rsidR="00520F9D">
        <w:rPr>
          <w:sz w:val="22"/>
          <w:szCs w:val="22"/>
        </w:rPr>
        <w:t xml:space="preserve">that </w:t>
      </w:r>
      <w:r w:rsidR="00C05E79" w:rsidRPr="00C05E79">
        <w:rPr>
          <w:sz w:val="22"/>
          <w:szCs w:val="22"/>
        </w:rPr>
        <w:t>individuals keep their appointment(s) at the next level(s) of clinical care, including physician visits;</w:t>
      </w:r>
      <w:r w:rsidR="00425C64">
        <w:rPr>
          <w:sz w:val="22"/>
          <w:szCs w:val="22"/>
        </w:rPr>
        <w:t xml:space="preserve"> and</w:t>
      </w:r>
      <w:r w:rsidR="00C05E79" w:rsidRPr="00C05E79">
        <w:rPr>
          <w:sz w:val="22"/>
          <w:szCs w:val="22"/>
        </w:rPr>
        <w:t xml:space="preserve"> </w:t>
      </w:r>
      <w:r w:rsidR="00305B35" w:rsidRPr="00305B35">
        <w:rPr>
          <w:sz w:val="22"/>
          <w:szCs w:val="22"/>
        </w:rPr>
        <w:t xml:space="preserve">c) Provides supportive services for each specific need, which may include securing an immediate residential treatment setting or </w:t>
      </w:r>
      <w:r w:rsidR="00520F9D">
        <w:rPr>
          <w:sz w:val="22"/>
          <w:szCs w:val="22"/>
        </w:rPr>
        <w:t xml:space="preserve">transitional </w:t>
      </w:r>
      <w:r w:rsidR="00305B35" w:rsidRPr="00305B35">
        <w:rPr>
          <w:sz w:val="22"/>
          <w:szCs w:val="22"/>
        </w:rPr>
        <w:t>housing, if necessary</w:t>
      </w:r>
      <w:r w:rsidR="00520F9D">
        <w:rPr>
          <w:sz w:val="22"/>
          <w:szCs w:val="22"/>
        </w:rPr>
        <w:t>,</w:t>
      </w:r>
      <w:r w:rsidR="00305B35" w:rsidRPr="00305B35">
        <w:rPr>
          <w:sz w:val="22"/>
          <w:szCs w:val="22"/>
        </w:rPr>
        <w:t xml:space="preserve"> and assist in securing mid/long term housing and other support services as </w:t>
      </w:r>
      <w:r w:rsidR="00520F9D">
        <w:rPr>
          <w:sz w:val="22"/>
          <w:szCs w:val="22"/>
        </w:rPr>
        <w:t xml:space="preserve">detailed </w:t>
      </w:r>
      <w:r w:rsidR="00305B35" w:rsidRPr="00305B35">
        <w:rPr>
          <w:sz w:val="22"/>
          <w:szCs w:val="22"/>
        </w:rPr>
        <w:t xml:space="preserve">below: </w:t>
      </w:r>
    </w:p>
    <w:p w:rsidR="00305B35" w:rsidRPr="00305B35" w:rsidRDefault="00305B35" w:rsidP="00305B35">
      <w:pPr>
        <w:autoSpaceDE w:val="0"/>
        <w:autoSpaceDN w:val="0"/>
        <w:adjustRightInd w:val="0"/>
        <w:spacing w:after="0" w:line="240" w:lineRule="auto"/>
        <w:ind w:left="1440"/>
        <w:rPr>
          <w:rFonts w:ascii="Calibri" w:hAnsi="Calibri" w:cs="Calibri"/>
          <w:color w:val="000000"/>
        </w:rPr>
      </w:pPr>
      <w:proofErr w:type="spellStart"/>
      <w:r w:rsidRPr="00305B35">
        <w:rPr>
          <w:rFonts w:ascii="Calibri" w:hAnsi="Calibri" w:cs="Calibri"/>
          <w:color w:val="000000"/>
        </w:rPr>
        <w:t>i</w:t>
      </w:r>
      <w:proofErr w:type="spellEnd"/>
      <w:r w:rsidRPr="00305B35">
        <w:rPr>
          <w:rFonts w:ascii="Calibri" w:hAnsi="Calibri" w:cs="Calibri"/>
          <w:color w:val="000000"/>
        </w:rPr>
        <w:t xml:space="preserve">) </w:t>
      </w:r>
      <w:r>
        <w:rPr>
          <w:rFonts w:ascii="Calibri" w:hAnsi="Calibri" w:cs="Calibri"/>
          <w:color w:val="000000"/>
        </w:rPr>
        <w:t xml:space="preserve">  </w:t>
      </w:r>
      <w:r w:rsidRPr="00305B35">
        <w:rPr>
          <w:rFonts w:ascii="Calibri" w:hAnsi="Calibri" w:cs="Calibri"/>
          <w:color w:val="000000"/>
        </w:rPr>
        <w:t xml:space="preserve">Emergency funding for medication, food, clothing; </w:t>
      </w:r>
    </w:p>
    <w:p w:rsidR="00305B35" w:rsidRPr="00305B35" w:rsidRDefault="00305B35" w:rsidP="00305B35">
      <w:pPr>
        <w:autoSpaceDE w:val="0"/>
        <w:autoSpaceDN w:val="0"/>
        <w:adjustRightInd w:val="0"/>
        <w:spacing w:after="0" w:line="240" w:lineRule="auto"/>
        <w:ind w:left="1440"/>
        <w:rPr>
          <w:rFonts w:ascii="Calibri" w:hAnsi="Calibri" w:cs="Calibri"/>
          <w:color w:val="000000"/>
        </w:rPr>
      </w:pPr>
      <w:r w:rsidRPr="00305B35">
        <w:rPr>
          <w:rFonts w:ascii="Calibri" w:hAnsi="Calibri" w:cs="Calibri"/>
          <w:color w:val="000000"/>
        </w:rPr>
        <w:t xml:space="preserve">ii) </w:t>
      </w:r>
      <w:r>
        <w:rPr>
          <w:rFonts w:ascii="Calibri" w:hAnsi="Calibri" w:cs="Calibri"/>
          <w:color w:val="000000"/>
        </w:rPr>
        <w:t xml:space="preserve"> </w:t>
      </w:r>
      <w:r w:rsidRPr="00305B35">
        <w:rPr>
          <w:rFonts w:ascii="Calibri" w:hAnsi="Calibri" w:cs="Calibri"/>
          <w:color w:val="000000"/>
        </w:rPr>
        <w:t xml:space="preserve">Emergency funding to support placement into immediate housing or residential services at discharge; </w:t>
      </w:r>
    </w:p>
    <w:p w:rsidR="00305B35" w:rsidRPr="00305B35" w:rsidRDefault="00305B35" w:rsidP="00305B35">
      <w:pPr>
        <w:autoSpaceDE w:val="0"/>
        <w:autoSpaceDN w:val="0"/>
        <w:adjustRightInd w:val="0"/>
        <w:spacing w:after="0" w:line="240" w:lineRule="auto"/>
        <w:ind w:left="1440"/>
        <w:rPr>
          <w:rFonts w:ascii="Calibri" w:hAnsi="Calibri" w:cs="Calibri"/>
          <w:color w:val="000000"/>
        </w:rPr>
      </w:pPr>
      <w:r w:rsidRPr="00305B35">
        <w:rPr>
          <w:rFonts w:ascii="Calibri" w:hAnsi="Calibri" w:cs="Calibri"/>
          <w:color w:val="000000"/>
        </w:rPr>
        <w:t xml:space="preserve">iii) Funding to support associated costs related to obtaining housing, e.g. landlord fees utility deposits etc.; </w:t>
      </w:r>
    </w:p>
    <w:p w:rsidR="00305B35" w:rsidRPr="00305B35" w:rsidRDefault="00305B35" w:rsidP="00305B35">
      <w:pPr>
        <w:autoSpaceDE w:val="0"/>
        <w:autoSpaceDN w:val="0"/>
        <w:adjustRightInd w:val="0"/>
        <w:spacing w:after="0" w:line="240" w:lineRule="auto"/>
        <w:ind w:left="1440"/>
        <w:rPr>
          <w:rFonts w:ascii="Calibri" w:hAnsi="Calibri" w:cs="Calibri"/>
          <w:color w:val="000000"/>
        </w:rPr>
      </w:pPr>
      <w:r w:rsidRPr="00305B35">
        <w:rPr>
          <w:rFonts w:ascii="Calibri" w:hAnsi="Calibri" w:cs="Calibri"/>
          <w:color w:val="000000"/>
        </w:rPr>
        <w:t>iv) Funding to support transportation cost to ensure participants can attend community</w:t>
      </w:r>
      <w:r w:rsidR="00964563">
        <w:rPr>
          <w:rFonts w:ascii="Calibri" w:hAnsi="Calibri" w:cs="Calibri"/>
          <w:color w:val="000000"/>
        </w:rPr>
        <w:t>-</w:t>
      </w:r>
      <w:r w:rsidRPr="00305B35">
        <w:rPr>
          <w:rFonts w:ascii="Calibri" w:hAnsi="Calibri" w:cs="Calibri"/>
          <w:color w:val="000000"/>
        </w:rPr>
        <w:t xml:space="preserve">based treatment programs. </w:t>
      </w:r>
    </w:p>
    <w:p w:rsidR="00305B35" w:rsidRPr="00305B35" w:rsidRDefault="00305B35" w:rsidP="00305B35">
      <w:pPr>
        <w:autoSpaceDE w:val="0"/>
        <w:autoSpaceDN w:val="0"/>
        <w:adjustRightInd w:val="0"/>
        <w:spacing w:after="0" w:line="240" w:lineRule="auto"/>
        <w:rPr>
          <w:rFonts w:ascii="Calibri" w:hAnsi="Calibri" w:cs="Calibri"/>
          <w:color w:val="000000"/>
        </w:rPr>
      </w:pPr>
    </w:p>
    <w:p w:rsidR="00305B35" w:rsidRPr="00305B35" w:rsidRDefault="00520F9D" w:rsidP="00305B35">
      <w:pPr>
        <w:autoSpaceDE w:val="0"/>
        <w:autoSpaceDN w:val="0"/>
        <w:adjustRightInd w:val="0"/>
        <w:spacing w:after="0"/>
        <w:rPr>
          <w:rFonts w:ascii="Calibri" w:hAnsi="Calibri" w:cs="Calibri"/>
          <w:color w:val="000000"/>
        </w:rPr>
      </w:pPr>
      <w:r>
        <w:rPr>
          <w:rFonts w:ascii="Calibri" w:hAnsi="Calibri" w:cs="Calibri"/>
          <w:color w:val="000000"/>
        </w:rPr>
        <w:t>A</w:t>
      </w:r>
      <w:r w:rsidR="00305B35" w:rsidRPr="00305B35">
        <w:rPr>
          <w:rFonts w:ascii="Calibri" w:hAnsi="Calibri" w:cs="Calibri"/>
          <w:color w:val="000000"/>
        </w:rPr>
        <w:t xml:space="preserve">lso available </w:t>
      </w:r>
      <w:r>
        <w:rPr>
          <w:rFonts w:ascii="Calibri" w:hAnsi="Calibri" w:cs="Calibri"/>
          <w:color w:val="000000"/>
        </w:rPr>
        <w:t xml:space="preserve">are </w:t>
      </w:r>
      <w:r w:rsidR="00305B35" w:rsidRPr="00305B35">
        <w:rPr>
          <w:rFonts w:ascii="Calibri" w:hAnsi="Calibri" w:cs="Calibri"/>
          <w:color w:val="000000"/>
        </w:rPr>
        <w:t>several other options for use as needed:</w:t>
      </w:r>
    </w:p>
    <w:p w:rsidR="00305B35" w:rsidRPr="00305B35" w:rsidRDefault="00305B35" w:rsidP="00305B35">
      <w:pPr>
        <w:numPr>
          <w:ilvl w:val="0"/>
          <w:numId w:val="8"/>
        </w:numPr>
        <w:autoSpaceDE w:val="0"/>
        <w:autoSpaceDN w:val="0"/>
        <w:adjustRightInd w:val="0"/>
        <w:spacing w:after="0"/>
        <w:rPr>
          <w:rFonts w:ascii="Calibri" w:hAnsi="Calibri" w:cs="Calibri"/>
          <w:color w:val="000000"/>
        </w:rPr>
      </w:pPr>
      <w:r w:rsidRPr="00305B35">
        <w:rPr>
          <w:rFonts w:ascii="Calibri" w:hAnsi="Calibri" w:cs="Calibri"/>
          <w:color w:val="000000"/>
        </w:rPr>
        <w:t xml:space="preserve">An existing, DMH funded eight (8) bed Crisis Residential (#860) </w:t>
      </w:r>
      <w:r w:rsidR="00520F9D">
        <w:rPr>
          <w:rFonts w:ascii="Calibri" w:hAnsi="Calibri" w:cs="Calibri"/>
          <w:color w:val="000000"/>
        </w:rPr>
        <w:t>setting</w:t>
      </w:r>
      <w:r w:rsidRPr="00305B35">
        <w:rPr>
          <w:rFonts w:ascii="Calibri" w:hAnsi="Calibri" w:cs="Calibri"/>
          <w:color w:val="000000"/>
        </w:rPr>
        <w:t>;</w:t>
      </w:r>
    </w:p>
    <w:p w:rsidR="00305B35" w:rsidRDefault="00305B35" w:rsidP="00305B35">
      <w:pPr>
        <w:numPr>
          <w:ilvl w:val="0"/>
          <w:numId w:val="8"/>
        </w:numPr>
        <w:autoSpaceDE w:val="0"/>
        <w:autoSpaceDN w:val="0"/>
        <w:adjustRightInd w:val="0"/>
        <w:spacing w:after="0"/>
        <w:rPr>
          <w:rFonts w:ascii="Calibri" w:hAnsi="Calibri" w:cs="Calibri"/>
          <w:color w:val="000000"/>
        </w:rPr>
      </w:pPr>
      <w:r w:rsidRPr="00305B35">
        <w:rPr>
          <w:rFonts w:ascii="Calibri" w:hAnsi="Calibri" w:cs="Calibri"/>
          <w:color w:val="000000"/>
        </w:rPr>
        <w:t xml:space="preserve">50 PSH/Bridge subsidies. </w:t>
      </w:r>
      <w:r>
        <w:rPr>
          <w:rFonts w:ascii="Calibri" w:hAnsi="Calibri" w:cs="Calibri"/>
          <w:color w:val="000000"/>
        </w:rPr>
        <w:t xml:space="preserve"> </w:t>
      </w:r>
      <w:r w:rsidRPr="00305B35">
        <w:rPr>
          <w:rFonts w:ascii="Calibri" w:hAnsi="Calibri" w:cs="Calibri"/>
          <w:color w:val="000000"/>
        </w:rPr>
        <w:t xml:space="preserve">As of June 30, 2018, 46 </w:t>
      </w:r>
      <w:r w:rsidR="00520F9D">
        <w:rPr>
          <w:rFonts w:ascii="Calibri" w:hAnsi="Calibri" w:cs="Calibri"/>
          <w:color w:val="000000"/>
        </w:rPr>
        <w:t>individuals</w:t>
      </w:r>
      <w:r w:rsidRPr="00305B35">
        <w:rPr>
          <w:rFonts w:ascii="Calibri" w:hAnsi="Calibri" w:cs="Calibri"/>
          <w:color w:val="000000"/>
        </w:rPr>
        <w:t xml:space="preserve"> have active Bridge subsidies and another 4 are pending in</w:t>
      </w:r>
      <w:r w:rsidR="00520F9D">
        <w:rPr>
          <w:rFonts w:ascii="Calibri" w:hAnsi="Calibri" w:cs="Calibri"/>
          <w:color w:val="000000"/>
        </w:rPr>
        <w:t xml:space="preserve"> varying </w:t>
      </w:r>
      <w:r w:rsidRPr="00305B35">
        <w:rPr>
          <w:rFonts w:ascii="Calibri" w:hAnsi="Calibri" w:cs="Calibri"/>
          <w:color w:val="000000"/>
        </w:rPr>
        <w:t>stage</w:t>
      </w:r>
      <w:r w:rsidR="00520F9D">
        <w:rPr>
          <w:rFonts w:ascii="Calibri" w:hAnsi="Calibri" w:cs="Calibri"/>
          <w:color w:val="000000"/>
        </w:rPr>
        <w:t>s</w:t>
      </w:r>
      <w:r w:rsidRPr="00305B35">
        <w:rPr>
          <w:rFonts w:ascii="Calibri" w:hAnsi="Calibri" w:cs="Calibri"/>
          <w:color w:val="000000"/>
        </w:rPr>
        <w:t xml:space="preserve"> of the application process. </w:t>
      </w:r>
    </w:p>
    <w:p w:rsidR="00305B35" w:rsidRDefault="00305B35" w:rsidP="00242ED1">
      <w:pPr>
        <w:autoSpaceDE w:val="0"/>
        <w:autoSpaceDN w:val="0"/>
        <w:adjustRightInd w:val="0"/>
        <w:spacing w:after="0"/>
        <w:ind w:left="1080"/>
        <w:rPr>
          <w:rFonts w:ascii="Calibri" w:hAnsi="Calibri" w:cs="Calibri"/>
          <w:color w:val="000000"/>
        </w:rPr>
      </w:pPr>
    </w:p>
    <w:p w:rsidR="00791D26" w:rsidRPr="00791D26" w:rsidRDefault="00791D26" w:rsidP="00791D26">
      <w:pPr>
        <w:autoSpaceDE w:val="0"/>
        <w:autoSpaceDN w:val="0"/>
        <w:adjustRightInd w:val="0"/>
        <w:spacing w:after="0" w:line="240" w:lineRule="auto"/>
        <w:rPr>
          <w:rFonts w:ascii="Calibri" w:hAnsi="Calibri" w:cs="Calibri"/>
          <w:color w:val="000000"/>
        </w:rPr>
      </w:pPr>
      <w:r w:rsidRPr="00791D26">
        <w:rPr>
          <w:rFonts w:ascii="Calibri" w:hAnsi="Calibri" w:cs="Calibri"/>
          <w:bCs/>
          <w:color w:val="000000"/>
        </w:rPr>
        <w:t xml:space="preserve">Current Diversion Project Status: </w:t>
      </w:r>
    </w:p>
    <w:p w:rsidR="00791D26" w:rsidRPr="00791D26" w:rsidRDefault="00791D26" w:rsidP="00791D26">
      <w:pPr>
        <w:tabs>
          <w:tab w:val="left" w:pos="1080"/>
        </w:tabs>
        <w:autoSpaceDE w:val="0"/>
        <w:autoSpaceDN w:val="0"/>
        <w:adjustRightInd w:val="0"/>
        <w:spacing w:after="0"/>
        <w:ind w:left="1080" w:hanging="360"/>
        <w:rPr>
          <w:rFonts w:ascii="Calibri" w:hAnsi="Calibri" w:cs="Calibri"/>
          <w:color w:val="000000"/>
        </w:rPr>
      </w:pPr>
    </w:p>
    <w:p w:rsidR="00791D26" w:rsidRPr="00791D26" w:rsidRDefault="00791D26" w:rsidP="00791D26">
      <w:pPr>
        <w:tabs>
          <w:tab w:val="left" w:pos="1080"/>
        </w:tabs>
        <w:autoSpaceDE w:val="0"/>
        <w:autoSpaceDN w:val="0"/>
        <w:adjustRightInd w:val="0"/>
        <w:spacing w:after="0"/>
        <w:ind w:left="1080" w:hanging="360"/>
        <w:rPr>
          <w:rFonts w:ascii="Calibri" w:hAnsi="Calibri" w:cs="Calibri"/>
          <w:color w:val="000000"/>
        </w:rPr>
      </w:pPr>
      <w:r w:rsidRPr="00791D26">
        <w:rPr>
          <w:rFonts w:ascii="Calibri" w:hAnsi="Calibri" w:cs="Calibri"/>
          <w:color w:val="000000"/>
        </w:rPr>
        <w:t xml:space="preserve">a)   The Diversion Project has </w:t>
      </w:r>
      <w:r w:rsidR="001C24D5" w:rsidRPr="00791D26">
        <w:rPr>
          <w:rFonts w:ascii="Calibri" w:hAnsi="Calibri" w:cs="Calibri"/>
          <w:color w:val="000000"/>
        </w:rPr>
        <w:t>continued</w:t>
      </w:r>
      <w:r w:rsidRPr="00791D26">
        <w:rPr>
          <w:rFonts w:ascii="Calibri" w:hAnsi="Calibri" w:cs="Calibri"/>
          <w:color w:val="000000"/>
        </w:rPr>
        <w:t xml:space="preserve"> operations as of July 1</w:t>
      </w:r>
      <w:r w:rsidR="001C24D5">
        <w:rPr>
          <w:rFonts w:ascii="Calibri" w:hAnsi="Calibri" w:cs="Calibri"/>
          <w:color w:val="000000"/>
        </w:rPr>
        <w:t>,</w:t>
      </w:r>
      <w:r w:rsidRPr="00791D26">
        <w:rPr>
          <w:rFonts w:ascii="Calibri" w:hAnsi="Calibri" w:cs="Calibri"/>
          <w:color w:val="000000"/>
        </w:rPr>
        <w:t xml:space="preserve"> 2018 under the same contract terms in </w:t>
      </w:r>
      <w:r w:rsidR="001C24D5">
        <w:rPr>
          <w:rFonts w:ascii="Calibri" w:hAnsi="Calibri" w:cs="Calibri"/>
          <w:color w:val="000000"/>
        </w:rPr>
        <w:t xml:space="preserve">the </w:t>
      </w:r>
      <w:r w:rsidRPr="00791D26">
        <w:rPr>
          <w:rFonts w:ascii="Calibri" w:hAnsi="Calibri" w:cs="Calibri"/>
          <w:color w:val="000000"/>
        </w:rPr>
        <w:t xml:space="preserve">two previous FYs. </w:t>
      </w:r>
    </w:p>
    <w:p w:rsidR="00791D26" w:rsidRPr="00791D26" w:rsidRDefault="00791D26" w:rsidP="00791D26">
      <w:pPr>
        <w:autoSpaceDE w:val="0"/>
        <w:autoSpaceDN w:val="0"/>
        <w:adjustRightInd w:val="0"/>
        <w:spacing w:after="0"/>
        <w:ind w:left="1080" w:hanging="360"/>
        <w:rPr>
          <w:rFonts w:ascii="Calibri" w:hAnsi="Calibri" w:cs="Calibri"/>
          <w:color w:val="000000"/>
        </w:rPr>
      </w:pPr>
      <w:r w:rsidRPr="00791D26">
        <w:rPr>
          <w:rFonts w:ascii="Calibri" w:hAnsi="Calibri" w:cs="Calibri"/>
          <w:color w:val="000000"/>
        </w:rPr>
        <w:t xml:space="preserve">b)  Agencies are using 92% of their contracted client assistance funds for securing emergency or immediate housing assistance upon discharge from hospital units. </w:t>
      </w:r>
    </w:p>
    <w:p w:rsidR="00791D26" w:rsidRPr="00791D26" w:rsidRDefault="001C24D5" w:rsidP="00791D26">
      <w:pPr>
        <w:autoSpaceDE w:val="0"/>
        <w:autoSpaceDN w:val="0"/>
        <w:adjustRightInd w:val="0"/>
        <w:spacing w:after="0"/>
        <w:ind w:left="1080" w:hanging="360"/>
        <w:rPr>
          <w:rFonts w:ascii="Calibri" w:hAnsi="Calibri" w:cs="Calibri"/>
          <w:color w:val="000000"/>
        </w:rPr>
      </w:pPr>
      <w:r>
        <w:rPr>
          <w:rFonts w:ascii="Calibri" w:hAnsi="Calibri" w:cs="Calibri"/>
          <w:color w:val="000000"/>
        </w:rPr>
        <w:t>c</w:t>
      </w:r>
      <w:r w:rsidR="00791D26" w:rsidRPr="00791D26">
        <w:rPr>
          <w:rFonts w:ascii="Calibri" w:hAnsi="Calibri" w:cs="Calibri"/>
          <w:color w:val="000000"/>
        </w:rPr>
        <w:t xml:space="preserve">)   Weekly calls with Project CMHCs continue to maintain constant monitoring and allow for real-time adjustments, dispositions and issue(s) resolution. Lines of communication remain open between DMH, PASRR agencies and the community agencies. </w:t>
      </w:r>
    </w:p>
    <w:p w:rsidR="00791D26" w:rsidRPr="00791D26" w:rsidRDefault="00791D26" w:rsidP="00791D26">
      <w:pPr>
        <w:autoSpaceDE w:val="0"/>
        <w:autoSpaceDN w:val="0"/>
        <w:adjustRightInd w:val="0"/>
        <w:spacing w:after="0"/>
        <w:ind w:left="720"/>
        <w:rPr>
          <w:rFonts w:ascii="Calibri" w:hAnsi="Calibri" w:cs="Calibri"/>
          <w:color w:val="000000"/>
        </w:rPr>
      </w:pPr>
    </w:p>
    <w:tbl>
      <w:tblPr>
        <w:tblStyle w:val="TableGrid"/>
        <w:tblW w:w="0" w:type="auto"/>
        <w:tblLook w:val="04A0" w:firstRow="1" w:lastRow="0" w:firstColumn="1" w:lastColumn="0" w:noHBand="0" w:noVBand="1"/>
      </w:tblPr>
      <w:tblGrid>
        <w:gridCol w:w="2480"/>
        <w:gridCol w:w="2425"/>
        <w:gridCol w:w="2342"/>
        <w:gridCol w:w="2103"/>
      </w:tblGrid>
      <w:tr w:rsidR="00791D26" w:rsidRPr="00791D26" w:rsidTr="00D97E40">
        <w:trPr>
          <w:tblHeader/>
        </w:trPr>
        <w:tc>
          <w:tcPr>
            <w:tcW w:w="2480" w:type="dxa"/>
            <w:tcBorders>
              <w:bottom w:val="single" w:sz="4" w:space="0" w:color="auto"/>
            </w:tcBorders>
            <w:shd w:val="clear" w:color="auto" w:fill="B8CCE4" w:themeFill="accent1" w:themeFillTint="66"/>
          </w:tcPr>
          <w:p w:rsidR="00791D26" w:rsidRPr="00791D26" w:rsidRDefault="00791D26" w:rsidP="00791D26">
            <w:pPr>
              <w:jc w:val="center"/>
            </w:pPr>
            <w:r w:rsidRPr="00791D26">
              <w:t>Front Door Actions</w:t>
            </w:r>
          </w:p>
        </w:tc>
        <w:tc>
          <w:tcPr>
            <w:tcW w:w="2425" w:type="dxa"/>
            <w:shd w:val="clear" w:color="auto" w:fill="B8CCE4" w:themeFill="accent1" w:themeFillTint="66"/>
          </w:tcPr>
          <w:p w:rsidR="00791D26" w:rsidRPr="00791D26" w:rsidRDefault="00791D26" w:rsidP="00791D26">
            <w:pPr>
              <w:jc w:val="center"/>
            </w:pPr>
            <w:r w:rsidRPr="00791D26">
              <w:t>FY18 July - December</w:t>
            </w:r>
          </w:p>
        </w:tc>
        <w:tc>
          <w:tcPr>
            <w:tcW w:w="2342" w:type="dxa"/>
            <w:shd w:val="clear" w:color="auto" w:fill="B8CCE4" w:themeFill="accent1" w:themeFillTint="66"/>
          </w:tcPr>
          <w:p w:rsidR="00791D26" w:rsidRPr="00791D26" w:rsidRDefault="00791D26" w:rsidP="00791D26">
            <w:pPr>
              <w:jc w:val="center"/>
            </w:pPr>
            <w:r w:rsidRPr="00791D26">
              <w:t>FY18 January - June</w:t>
            </w:r>
          </w:p>
        </w:tc>
        <w:tc>
          <w:tcPr>
            <w:tcW w:w="2103" w:type="dxa"/>
            <w:shd w:val="clear" w:color="auto" w:fill="B8CCE4" w:themeFill="accent1" w:themeFillTint="66"/>
          </w:tcPr>
          <w:p w:rsidR="00791D26" w:rsidRPr="00791D26" w:rsidRDefault="00791D26" w:rsidP="00791D26">
            <w:pPr>
              <w:jc w:val="center"/>
            </w:pPr>
            <w:r w:rsidRPr="00791D26">
              <w:t>Total Project Period FY17 FY18</w:t>
            </w:r>
          </w:p>
        </w:tc>
      </w:tr>
      <w:tr w:rsidR="00791D26" w:rsidRPr="00791D26" w:rsidTr="00CC421E">
        <w:tc>
          <w:tcPr>
            <w:tcW w:w="2480" w:type="dxa"/>
            <w:shd w:val="clear" w:color="auto" w:fill="E5B8B7" w:themeFill="accent2" w:themeFillTint="66"/>
          </w:tcPr>
          <w:p w:rsidR="00791D26" w:rsidRPr="00791D26" w:rsidRDefault="00791D26" w:rsidP="00791D26">
            <w:pPr>
              <w:jc w:val="center"/>
            </w:pPr>
            <w:r w:rsidRPr="00791D26">
              <w:t>Dispositions to community - Diversion</w:t>
            </w:r>
          </w:p>
        </w:tc>
        <w:tc>
          <w:tcPr>
            <w:tcW w:w="2425" w:type="dxa"/>
          </w:tcPr>
          <w:p w:rsidR="00791D26" w:rsidRPr="00791D26" w:rsidRDefault="00791D26" w:rsidP="00791D26">
            <w:pPr>
              <w:jc w:val="center"/>
            </w:pPr>
            <w:r w:rsidRPr="00791D26">
              <w:t>52</w:t>
            </w:r>
          </w:p>
        </w:tc>
        <w:tc>
          <w:tcPr>
            <w:tcW w:w="2342" w:type="dxa"/>
          </w:tcPr>
          <w:p w:rsidR="00791D26" w:rsidRPr="00791D26" w:rsidRDefault="00791D26" w:rsidP="00791D26">
            <w:pPr>
              <w:jc w:val="center"/>
            </w:pPr>
            <w:r w:rsidRPr="00791D26">
              <w:t>36</w:t>
            </w:r>
          </w:p>
          <w:p w:rsidR="00791D26" w:rsidRPr="00791D26" w:rsidRDefault="00791D26" w:rsidP="00791D26">
            <w:pPr>
              <w:jc w:val="center"/>
            </w:pPr>
          </w:p>
        </w:tc>
        <w:tc>
          <w:tcPr>
            <w:tcW w:w="2103" w:type="dxa"/>
          </w:tcPr>
          <w:p w:rsidR="00791D26" w:rsidRPr="00791D26" w:rsidRDefault="00791D26" w:rsidP="00791D26">
            <w:pPr>
              <w:jc w:val="center"/>
            </w:pPr>
            <w:r w:rsidRPr="00791D26">
              <w:t>162</w:t>
            </w:r>
          </w:p>
        </w:tc>
      </w:tr>
      <w:tr w:rsidR="00791D26" w:rsidRPr="00791D26" w:rsidTr="00CC421E">
        <w:tc>
          <w:tcPr>
            <w:tcW w:w="2480" w:type="dxa"/>
            <w:shd w:val="clear" w:color="auto" w:fill="E5B8B7" w:themeFill="accent2" w:themeFillTint="66"/>
          </w:tcPr>
          <w:p w:rsidR="00791D26" w:rsidRPr="00791D26" w:rsidRDefault="00791D26" w:rsidP="00791D26">
            <w:pPr>
              <w:jc w:val="center"/>
            </w:pPr>
            <w:r w:rsidRPr="00791D26">
              <w:t>Individual refusing services</w:t>
            </w:r>
          </w:p>
        </w:tc>
        <w:tc>
          <w:tcPr>
            <w:tcW w:w="2425" w:type="dxa"/>
          </w:tcPr>
          <w:p w:rsidR="00791D26" w:rsidRPr="00791D26" w:rsidRDefault="00791D26" w:rsidP="00791D26">
            <w:pPr>
              <w:jc w:val="center"/>
            </w:pPr>
            <w:r w:rsidRPr="00791D26">
              <w:t>105</w:t>
            </w:r>
          </w:p>
          <w:p w:rsidR="00791D26" w:rsidRPr="00791D26" w:rsidRDefault="00791D26" w:rsidP="00791D26">
            <w:pPr>
              <w:jc w:val="center"/>
            </w:pPr>
          </w:p>
        </w:tc>
        <w:tc>
          <w:tcPr>
            <w:tcW w:w="2342" w:type="dxa"/>
          </w:tcPr>
          <w:p w:rsidR="00791D26" w:rsidRPr="00791D26" w:rsidRDefault="00791D26" w:rsidP="00791D26">
            <w:pPr>
              <w:jc w:val="center"/>
            </w:pPr>
            <w:r w:rsidRPr="00791D26">
              <w:t>131</w:t>
            </w:r>
          </w:p>
        </w:tc>
        <w:tc>
          <w:tcPr>
            <w:tcW w:w="2103" w:type="dxa"/>
          </w:tcPr>
          <w:p w:rsidR="00791D26" w:rsidRPr="00791D26" w:rsidRDefault="00791D26" w:rsidP="00791D26">
            <w:pPr>
              <w:jc w:val="center"/>
            </w:pPr>
            <w:r w:rsidRPr="00791D26">
              <w:t>298</w:t>
            </w:r>
          </w:p>
        </w:tc>
      </w:tr>
      <w:tr w:rsidR="00791D26" w:rsidRPr="00791D26" w:rsidTr="00CC421E">
        <w:tc>
          <w:tcPr>
            <w:tcW w:w="2480" w:type="dxa"/>
            <w:shd w:val="clear" w:color="auto" w:fill="E5B8B7" w:themeFill="accent2" w:themeFillTint="66"/>
          </w:tcPr>
          <w:p w:rsidR="00791D26" w:rsidRPr="00791D26" w:rsidRDefault="00791D26" w:rsidP="00791D26">
            <w:pPr>
              <w:jc w:val="center"/>
            </w:pPr>
            <w:r w:rsidRPr="00791D26">
              <w:t>Individuals ineligible</w:t>
            </w:r>
          </w:p>
        </w:tc>
        <w:tc>
          <w:tcPr>
            <w:tcW w:w="2425" w:type="dxa"/>
          </w:tcPr>
          <w:p w:rsidR="00791D26" w:rsidRPr="00791D26" w:rsidRDefault="00791D26" w:rsidP="00791D26">
            <w:pPr>
              <w:jc w:val="center"/>
            </w:pPr>
            <w:r w:rsidRPr="00791D26">
              <w:t>47</w:t>
            </w:r>
          </w:p>
        </w:tc>
        <w:tc>
          <w:tcPr>
            <w:tcW w:w="2342" w:type="dxa"/>
          </w:tcPr>
          <w:p w:rsidR="00791D26" w:rsidRPr="00791D26" w:rsidRDefault="00791D26" w:rsidP="00791D26">
            <w:pPr>
              <w:jc w:val="center"/>
            </w:pPr>
            <w:r w:rsidRPr="00791D26">
              <w:t>87</w:t>
            </w:r>
          </w:p>
        </w:tc>
        <w:tc>
          <w:tcPr>
            <w:tcW w:w="2103" w:type="dxa"/>
          </w:tcPr>
          <w:p w:rsidR="00791D26" w:rsidRPr="00791D26" w:rsidRDefault="00791D26" w:rsidP="00791D26">
            <w:pPr>
              <w:jc w:val="center"/>
            </w:pPr>
            <w:r w:rsidRPr="00791D26">
              <w:t>188</w:t>
            </w:r>
          </w:p>
        </w:tc>
      </w:tr>
      <w:tr w:rsidR="00791D26" w:rsidRPr="00791D26" w:rsidTr="00CC421E">
        <w:tc>
          <w:tcPr>
            <w:tcW w:w="2480" w:type="dxa"/>
            <w:shd w:val="clear" w:color="auto" w:fill="E5B8B7" w:themeFill="accent2" w:themeFillTint="66"/>
          </w:tcPr>
          <w:p w:rsidR="00791D26" w:rsidRPr="00791D26" w:rsidRDefault="00791D26" w:rsidP="00791D26">
            <w:pPr>
              <w:jc w:val="center"/>
            </w:pPr>
            <w:r w:rsidRPr="00791D26">
              <w:t>Total Referrals</w:t>
            </w:r>
          </w:p>
        </w:tc>
        <w:tc>
          <w:tcPr>
            <w:tcW w:w="2425" w:type="dxa"/>
          </w:tcPr>
          <w:p w:rsidR="00791D26" w:rsidRPr="00791D26" w:rsidRDefault="00791D26" w:rsidP="00791D26">
            <w:pPr>
              <w:jc w:val="center"/>
            </w:pPr>
            <w:r w:rsidRPr="00791D26">
              <w:t>308</w:t>
            </w:r>
          </w:p>
        </w:tc>
        <w:tc>
          <w:tcPr>
            <w:tcW w:w="2342" w:type="dxa"/>
          </w:tcPr>
          <w:p w:rsidR="00791D26" w:rsidRPr="00791D26" w:rsidRDefault="00791D26" w:rsidP="00791D26">
            <w:pPr>
              <w:jc w:val="center"/>
            </w:pPr>
            <w:r w:rsidRPr="00791D26">
              <w:t>485</w:t>
            </w:r>
          </w:p>
        </w:tc>
        <w:tc>
          <w:tcPr>
            <w:tcW w:w="2103" w:type="dxa"/>
          </w:tcPr>
          <w:p w:rsidR="00791D26" w:rsidRPr="00791D26" w:rsidRDefault="00791D26" w:rsidP="00791D26">
            <w:pPr>
              <w:jc w:val="center"/>
            </w:pPr>
            <w:r w:rsidRPr="00791D26">
              <w:t>1109</w:t>
            </w:r>
          </w:p>
        </w:tc>
      </w:tr>
    </w:tbl>
    <w:p w:rsidR="00791D26" w:rsidRPr="00791D26" w:rsidRDefault="00791D26" w:rsidP="00791D26">
      <w:pPr>
        <w:spacing w:after="0" w:line="240" w:lineRule="auto"/>
        <w:rPr>
          <w:sz w:val="16"/>
          <w:szCs w:val="16"/>
        </w:rPr>
      </w:pPr>
      <w:r w:rsidRPr="00791D26">
        <w:rPr>
          <w:sz w:val="16"/>
          <w:szCs w:val="16"/>
        </w:rPr>
        <w:t>NOTES:</w:t>
      </w:r>
    </w:p>
    <w:p w:rsidR="00791D26" w:rsidRPr="00791D26" w:rsidRDefault="00791D26" w:rsidP="00791D26">
      <w:pPr>
        <w:numPr>
          <w:ilvl w:val="0"/>
          <w:numId w:val="28"/>
        </w:numPr>
        <w:spacing w:line="240" w:lineRule="auto"/>
        <w:contextualSpacing/>
        <w:rPr>
          <w:sz w:val="16"/>
          <w:szCs w:val="16"/>
        </w:rPr>
      </w:pPr>
      <w:r w:rsidRPr="00791D26">
        <w:rPr>
          <w:sz w:val="16"/>
          <w:szCs w:val="16"/>
        </w:rPr>
        <w:t>Total Project Period Fy17 FY18: This data includes the period Feb 2107 through June 2017 in FY17.</w:t>
      </w:r>
    </w:p>
    <w:p w:rsidR="00791D26" w:rsidRPr="00791D26" w:rsidRDefault="00791D26" w:rsidP="00791D26">
      <w:pPr>
        <w:numPr>
          <w:ilvl w:val="0"/>
          <w:numId w:val="28"/>
        </w:numPr>
        <w:spacing w:line="240" w:lineRule="auto"/>
        <w:contextualSpacing/>
        <w:rPr>
          <w:sz w:val="16"/>
          <w:szCs w:val="16"/>
        </w:rPr>
      </w:pPr>
      <w:r w:rsidRPr="00791D26">
        <w:rPr>
          <w:sz w:val="16"/>
          <w:szCs w:val="16"/>
        </w:rPr>
        <w:t xml:space="preserve">Total Project Period volumes does include FY17 data (five months) thus the two FY18 data totals would not equal numbers in Total Project Period FY17 FY18. </w:t>
      </w:r>
    </w:p>
    <w:p w:rsidR="00791D26" w:rsidRPr="00791D26" w:rsidRDefault="00791D26" w:rsidP="00791D26">
      <w:pPr>
        <w:numPr>
          <w:ilvl w:val="0"/>
          <w:numId w:val="28"/>
        </w:numPr>
        <w:spacing w:line="240" w:lineRule="auto"/>
        <w:contextualSpacing/>
        <w:rPr>
          <w:sz w:val="16"/>
          <w:szCs w:val="16"/>
        </w:rPr>
      </w:pPr>
      <w:r w:rsidRPr="00791D26">
        <w:rPr>
          <w:rFonts w:cs="Arial"/>
          <w:sz w:val="16"/>
          <w:szCs w:val="16"/>
        </w:rPr>
        <w:t>Not eligible for the Project is most often due to: (1) having a non-Medicaid payor source, (2) is currently a Williams or Colbert Class Member and 3 cases had a presenting illness that does not constitute a SMI.</w:t>
      </w:r>
    </w:p>
    <w:p w:rsidR="00791D26" w:rsidRPr="00791D26" w:rsidRDefault="00791D26" w:rsidP="00791D26">
      <w:pPr>
        <w:autoSpaceDE w:val="0"/>
        <w:autoSpaceDN w:val="0"/>
        <w:adjustRightInd w:val="0"/>
        <w:spacing w:after="0"/>
        <w:ind w:left="1080" w:hanging="360"/>
        <w:rPr>
          <w:rFonts w:ascii="Calibri" w:hAnsi="Calibri" w:cs="Calibri"/>
          <w:color w:val="000000"/>
        </w:rPr>
      </w:pPr>
    </w:p>
    <w:p w:rsidR="00791D26" w:rsidRPr="00791D26" w:rsidRDefault="00791D26" w:rsidP="00791D26">
      <w:pPr>
        <w:autoSpaceDE w:val="0"/>
        <w:autoSpaceDN w:val="0"/>
        <w:adjustRightInd w:val="0"/>
        <w:spacing w:after="0"/>
        <w:rPr>
          <w:rFonts w:ascii="Calibri" w:hAnsi="Calibri" w:cs="Calibri"/>
          <w:color w:val="000000"/>
        </w:rPr>
      </w:pPr>
      <w:r w:rsidRPr="00791D26">
        <w:rPr>
          <w:rFonts w:ascii="Calibri" w:hAnsi="Calibri" w:cs="Calibri"/>
          <w:color w:val="000000"/>
        </w:rPr>
        <w:t xml:space="preserve">During this reporting period the following activities transpired:  </w:t>
      </w:r>
    </w:p>
    <w:p w:rsidR="00791D26" w:rsidRPr="00791D26" w:rsidRDefault="00791D26" w:rsidP="00791D26">
      <w:pPr>
        <w:numPr>
          <w:ilvl w:val="0"/>
          <w:numId w:val="18"/>
        </w:numPr>
        <w:autoSpaceDE w:val="0"/>
        <w:autoSpaceDN w:val="0"/>
        <w:adjustRightInd w:val="0"/>
        <w:spacing w:after="0"/>
        <w:rPr>
          <w:rFonts w:ascii="Calibri" w:hAnsi="Calibri" w:cs="Calibri"/>
          <w:color w:val="000000"/>
        </w:rPr>
      </w:pPr>
      <w:r w:rsidRPr="00791D26">
        <w:rPr>
          <w:rFonts w:ascii="Calibri" w:hAnsi="Calibri" w:cs="Calibri"/>
          <w:color w:val="000000"/>
        </w:rPr>
        <w:t>FY19 contracts</w:t>
      </w:r>
      <w:r w:rsidR="001C24D5">
        <w:rPr>
          <w:rFonts w:ascii="Calibri" w:hAnsi="Calibri" w:cs="Calibri"/>
          <w:color w:val="000000"/>
        </w:rPr>
        <w:t xml:space="preserve"> </w:t>
      </w:r>
      <w:r w:rsidRPr="00791D26">
        <w:rPr>
          <w:rFonts w:ascii="Calibri" w:hAnsi="Calibri" w:cs="Calibri"/>
          <w:color w:val="000000"/>
        </w:rPr>
        <w:t>for continuing services with the current CMHCs ha</w:t>
      </w:r>
      <w:r w:rsidR="001C24D5">
        <w:rPr>
          <w:rFonts w:ascii="Calibri" w:hAnsi="Calibri" w:cs="Calibri"/>
          <w:color w:val="000000"/>
        </w:rPr>
        <w:t>ve</w:t>
      </w:r>
      <w:r w:rsidRPr="00791D26">
        <w:rPr>
          <w:rFonts w:ascii="Calibri" w:hAnsi="Calibri" w:cs="Calibri"/>
          <w:color w:val="000000"/>
        </w:rPr>
        <w:t xml:space="preserve"> been executed.   </w:t>
      </w:r>
    </w:p>
    <w:p w:rsidR="00791D26" w:rsidRPr="00791D26" w:rsidRDefault="00791D26" w:rsidP="00791D26">
      <w:pPr>
        <w:numPr>
          <w:ilvl w:val="0"/>
          <w:numId w:val="18"/>
        </w:numPr>
        <w:autoSpaceDE w:val="0"/>
        <w:autoSpaceDN w:val="0"/>
        <w:adjustRightInd w:val="0"/>
        <w:spacing w:after="0"/>
        <w:rPr>
          <w:rFonts w:ascii="Calibri" w:hAnsi="Calibri" w:cs="Calibri"/>
          <w:color w:val="000000"/>
        </w:rPr>
      </w:pPr>
      <w:r w:rsidRPr="00791D26">
        <w:rPr>
          <w:rFonts w:ascii="Calibri" w:hAnsi="Calibri" w:cs="Calibri"/>
          <w:color w:val="000000"/>
        </w:rPr>
        <w:t xml:space="preserve">Due diligence analysis of need was completed to explore expansion of the Diversion Project in to other geographic areas of the state.  </w:t>
      </w:r>
    </w:p>
    <w:p w:rsidR="00791D26" w:rsidRPr="00791D26" w:rsidRDefault="00791D26" w:rsidP="00791D26">
      <w:pPr>
        <w:numPr>
          <w:ilvl w:val="0"/>
          <w:numId w:val="18"/>
        </w:numPr>
        <w:autoSpaceDE w:val="0"/>
        <w:autoSpaceDN w:val="0"/>
        <w:adjustRightInd w:val="0"/>
        <w:spacing w:after="0"/>
        <w:rPr>
          <w:rFonts w:ascii="Calibri" w:hAnsi="Calibri" w:cs="Calibri"/>
          <w:color w:val="000000"/>
        </w:rPr>
      </w:pPr>
      <w:r w:rsidRPr="00791D26">
        <w:rPr>
          <w:rFonts w:ascii="Calibri" w:hAnsi="Calibri" w:cs="Calibri"/>
          <w:color w:val="000000"/>
        </w:rPr>
        <w:t xml:space="preserve">A Request for Information (RFI) has been completed to solicit potential contractors and to provide diversion services to a larger geographical area with a projection to cover 88% of all PASRR evaluations conducted in inpatient behavioral health units, which have shown a recent three years history of significant LTC referrals.   </w:t>
      </w:r>
    </w:p>
    <w:p w:rsidR="00791D26" w:rsidRPr="00791D26" w:rsidRDefault="00791D26" w:rsidP="00791D26">
      <w:pPr>
        <w:numPr>
          <w:ilvl w:val="0"/>
          <w:numId w:val="18"/>
        </w:numPr>
        <w:autoSpaceDE w:val="0"/>
        <w:autoSpaceDN w:val="0"/>
        <w:adjustRightInd w:val="0"/>
        <w:spacing w:after="0"/>
        <w:rPr>
          <w:rFonts w:ascii="Calibri" w:hAnsi="Calibri" w:cs="Calibri"/>
          <w:color w:val="000000"/>
        </w:rPr>
      </w:pPr>
      <w:r w:rsidRPr="00791D26">
        <w:rPr>
          <w:rFonts w:ascii="Calibri" w:hAnsi="Calibri" w:cs="Calibri"/>
          <w:color w:val="000000"/>
        </w:rPr>
        <w:t>DMH has initiated discussions with agencies on actively restructuring the future payment process to incorporate incentive</w:t>
      </w:r>
      <w:r w:rsidR="00964563">
        <w:rPr>
          <w:rFonts w:ascii="Calibri" w:hAnsi="Calibri" w:cs="Calibri"/>
          <w:color w:val="000000"/>
        </w:rPr>
        <w:t>-</w:t>
      </w:r>
      <w:r w:rsidRPr="00791D26">
        <w:rPr>
          <w:rFonts w:ascii="Calibri" w:hAnsi="Calibri" w:cs="Calibri"/>
          <w:color w:val="000000"/>
        </w:rPr>
        <w:t xml:space="preserve">based rates. </w:t>
      </w:r>
    </w:p>
    <w:p w:rsidR="00791D26" w:rsidRPr="00791D26" w:rsidRDefault="00791D26" w:rsidP="00791D26">
      <w:pPr>
        <w:numPr>
          <w:ilvl w:val="0"/>
          <w:numId w:val="18"/>
        </w:numPr>
        <w:autoSpaceDE w:val="0"/>
        <w:autoSpaceDN w:val="0"/>
        <w:adjustRightInd w:val="0"/>
        <w:spacing w:after="0"/>
        <w:rPr>
          <w:rFonts w:ascii="Calibri" w:hAnsi="Calibri" w:cs="Calibri"/>
          <w:color w:val="000000"/>
        </w:rPr>
      </w:pPr>
      <w:r w:rsidRPr="00791D26">
        <w:rPr>
          <w:rFonts w:ascii="Calibri" w:hAnsi="Calibri" w:cs="Calibri"/>
          <w:color w:val="000000"/>
        </w:rPr>
        <w:t>DMH will continue work</w:t>
      </w:r>
      <w:r w:rsidR="009A1314">
        <w:rPr>
          <w:rFonts w:ascii="Calibri" w:hAnsi="Calibri" w:cs="Calibri"/>
          <w:color w:val="000000"/>
        </w:rPr>
        <w:t xml:space="preserve"> ensuring</w:t>
      </w:r>
      <w:r w:rsidRPr="001C24D5">
        <w:rPr>
          <w:rFonts w:ascii="Calibri" w:hAnsi="Calibri" w:cs="Calibri"/>
          <w:color w:val="548DD4" w:themeColor="text2" w:themeTint="99"/>
          <w:u w:val="single"/>
        </w:rPr>
        <w:t xml:space="preserve"> </w:t>
      </w:r>
      <w:r w:rsidRPr="00791D26">
        <w:rPr>
          <w:rFonts w:ascii="Calibri" w:hAnsi="Calibri" w:cs="Calibri"/>
          <w:color w:val="000000"/>
        </w:rPr>
        <w:t>that Diversion Project participants have access to safe residential treatment options available for immediate post-discharge needs, as well as continuing to provide short, mid and long-term housing access through the existing HUD 811 units, State Referral Network units and enrollment in the PAIRS network.</w:t>
      </w:r>
    </w:p>
    <w:p w:rsidR="00791D26" w:rsidRPr="00791D26" w:rsidRDefault="00791D26" w:rsidP="00791D26">
      <w:pPr>
        <w:autoSpaceDE w:val="0"/>
        <w:autoSpaceDN w:val="0"/>
        <w:adjustRightInd w:val="0"/>
        <w:spacing w:after="0"/>
        <w:ind w:left="720"/>
        <w:rPr>
          <w:rFonts w:ascii="Calibri" w:hAnsi="Calibri" w:cs="Calibri"/>
          <w:color w:val="000000"/>
        </w:rPr>
      </w:pPr>
    </w:p>
    <w:p w:rsidR="009A0772" w:rsidRPr="00242ED1" w:rsidRDefault="009A0772" w:rsidP="00242ED1">
      <w:pPr>
        <w:tabs>
          <w:tab w:val="left" w:pos="1080"/>
        </w:tabs>
        <w:autoSpaceDE w:val="0"/>
        <w:autoSpaceDN w:val="0"/>
        <w:adjustRightInd w:val="0"/>
        <w:spacing w:after="0"/>
        <w:rPr>
          <w:rFonts w:ascii="Calibri" w:hAnsi="Calibri" w:cs="Calibri"/>
          <w:color w:val="000000"/>
        </w:rPr>
      </w:pPr>
    </w:p>
    <w:p w:rsidR="00C6740F" w:rsidRDefault="00C6740F" w:rsidP="00C6740F">
      <w:pPr>
        <w:rPr>
          <w:b/>
          <w:sz w:val="24"/>
          <w:szCs w:val="24"/>
        </w:rPr>
      </w:pPr>
      <w:r w:rsidRPr="00C6740F">
        <w:rPr>
          <w:b/>
          <w:sz w:val="24"/>
          <w:szCs w:val="24"/>
        </w:rPr>
        <w:t>Transition Benchmarks/Requirements from Consent Decree</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Offer placement into CB setting to a minimum of 256 CMs who are assessed as appropriate for living in CB setting and who do not oppose moving to a CB setting.</w:t>
      </w:r>
    </w:p>
    <w:p w:rsidR="00C6740F" w:rsidRPr="004065A2" w:rsidRDefault="0052139B"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4065A2">
        <w:t xml:space="preserve">294 Class Members were transitioned to the community by November 2012.     </w:t>
      </w:r>
      <w:r w:rsidRPr="004065A2">
        <w:tab/>
      </w:r>
      <w:r w:rsidRPr="004065A2">
        <w:tab/>
      </w:r>
      <w:r w:rsidRPr="004065A2">
        <w:tab/>
      </w:r>
      <w:r w:rsidRPr="004065A2">
        <w:tab/>
        <w:t>114%</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Develop 256 PSH units for benefit of class members.</w:t>
      </w:r>
    </w:p>
    <w:p w:rsidR="00C6740F" w:rsidRPr="004065A2" w:rsidRDefault="0052139B"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4065A2">
        <w:t xml:space="preserve">294 Class Members signed leases for PSH units by November 2012.    </w:t>
      </w:r>
      <w:r w:rsidRPr="004065A2">
        <w:tab/>
      </w:r>
      <w:r w:rsidRPr="004065A2">
        <w:tab/>
      </w:r>
      <w:r w:rsidRPr="004065A2">
        <w:tab/>
      </w:r>
      <w:r w:rsidRPr="004065A2">
        <w:tab/>
      </w:r>
      <w:r w:rsidRPr="004065A2">
        <w:tab/>
        <w:t>114%</w:t>
      </w:r>
      <w:r w:rsidRPr="004065A2">
        <w:tab/>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Offer placement in CB setting to a minimum of 640 CMs (including the 256 referenced above).</w:t>
      </w:r>
    </w:p>
    <w:p w:rsidR="00C6740F" w:rsidRPr="004065A2" w:rsidRDefault="0052139B"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4065A2">
        <w:t>A cumulative number of 648 Class Members were transitioned to the community by June 2013</w:t>
      </w:r>
      <w:r w:rsidRPr="004065A2">
        <w:tab/>
      </w:r>
      <w:r w:rsidRPr="004065A2">
        <w:tab/>
        <w:t>101%</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Develop 640 PSH units for benefit of class members.</w:t>
      </w:r>
    </w:p>
    <w:p w:rsidR="00C6740F" w:rsidRPr="004065A2" w:rsidRDefault="0052139B"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4065A2">
        <w:t>A cumulative number of 648 Class Members signed leases for PSH units by June 2013</w:t>
      </w:r>
      <w:r w:rsidRPr="004065A2">
        <w:tab/>
      </w:r>
      <w:r w:rsidRPr="004065A2">
        <w:tab/>
      </w:r>
      <w:r w:rsidRPr="004065A2">
        <w:tab/>
        <w:t>101%</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Offer placement to at least 40% of all individuals who assessed as appropriate for living in CB setting and who do not oppose moving into CB setting.</w:t>
      </w:r>
    </w:p>
    <w:p w:rsidR="00DB7674" w:rsidRDefault="00C6746B" w:rsidP="0073231F">
      <w:r>
        <w:t>All Class Members recommended for transition through the Resident Review assessment process have not been ‘offered’ community-based services and PSH.   The c</w:t>
      </w:r>
      <w:r w:rsidR="00DB7674">
        <w:t>reation</w:t>
      </w:r>
      <w:r>
        <w:t xml:space="preserve"> of the CAST Clinical Case Review Panel</w:t>
      </w:r>
      <w:r w:rsidR="00DB7674">
        <w:t xml:space="preserve"> was </w:t>
      </w:r>
      <w:r w:rsidR="00631391">
        <w:t>structural</w:t>
      </w:r>
      <w:r w:rsidR="00266B05">
        <w:t>ly</w:t>
      </w:r>
      <w:r w:rsidR="00631391">
        <w:t xml:space="preserve"> design</w:t>
      </w:r>
      <w:r w:rsidR="00266B05">
        <w:t>ed</w:t>
      </w:r>
      <w:r w:rsidR="00631391">
        <w:t xml:space="preserve"> </w:t>
      </w:r>
      <w:r w:rsidR="00DB7674">
        <w:t xml:space="preserve">to provide a state-level staffing to better understand the dynamics </w:t>
      </w:r>
      <w:r w:rsidR="00266B05">
        <w:t xml:space="preserve">of </w:t>
      </w:r>
      <w:r w:rsidR="00DB7674">
        <w:t>why Class Members are not on a transition pathway.  The engagement process (which includes time spen</w:t>
      </w:r>
      <w:r w:rsidR="00964563">
        <w:t>t</w:t>
      </w:r>
      <w:r w:rsidR="00DB7674">
        <w:t xml:space="preserve"> with and observation of the Class Member outside of the facility</w:t>
      </w:r>
      <w:r w:rsidR="00266B05">
        <w:t>)</w:t>
      </w:r>
      <w:r w:rsidR="00964563">
        <w:t xml:space="preserve"> </w:t>
      </w:r>
      <w:r w:rsidR="000A6A04">
        <w:t>sometimes uncovers serious clinical barriers to transition involving functional</w:t>
      </w:r>
      <w:r w:rsidR="003D736E" w:rsidRPr="003D736E">
        <w:rPr>
          <w:color w:val="92D050"/>
        </w:rPr>
        <w:t xml:space="preserve"> </w:t>
      </w:r>
      <w:r w:rsidR="00DB7674">
        <w:t xml:space="preserve">needs, individual skill performances, self-management and decision making, cognition, treatment needs and supports.    </w:t>
      </w:r>
      <w:r w:rsidR="00631391">
        <w:t>The r</w:t>
      </w:r>
      <w:r w:rsidR="00DB7674">
        <w:t>easons why Class Members are referred to CAST</w:t>
      </w:r>
      <w:r w:rsidR="0097301C">
        <w:t xml:space="preserve">, by </w:t>
      </w:r>
      <w:r w:rsidR="00DB7674">
        <w:t>categor</w:t>
      </w:r>
      <w:r w:rsidR="0097301C">
        <w:t xml:space="preserve">y, </w:t>
      </w:r>
      <w:r w:rsidR="00631391">
        <w:t xml:space="preserve">are denoted </w:t>
      </w:r>
      <w:r w:rsidR="0097301C">
        <w:t>later in this document</w:t>
      </w:r>
      <w:r w:rsidR="00DB7674">
        <w:t xml:space="preserve"> under th</w:t>
      </w:r>
      <w:r w:rsidR="00631391">
        <w:t>e</w:t>
      </w:r>
      <w:r w:rsidR="00DB7674">
        <w:t xml:space="preserve"> respective </w:t>
      </w:r>
      <w:r w:rsidR="00631391">
        <w:t xml:space="preserve">CAST </w:t>
      </w:r>
      <w:r w:rsidR="00DB7674">
        <w:t>section.</w:t>
      </w:r>
    </w:p>
    <w:p w:rsidR="00CC42EA" w:rsidRDefault="00985559" w:rsidP="0073231F">
      <w:r w:rsidRPr="0081050D">
        <w:t>Cumulatively, 4,3</w:t>
      </w:r>
      <w:r w:rsidR="00C167B4">
        <w:t>04</w:t>
      </w:r>
      <w:r w:rsidRPr="0081050D">
        <w:t xml:space="preserve"> (unduplicated) Class Members have been approved for </w:t>
      </w:r>
      <w:r w:rsidR="00EC2D42" w:rsidRPr="0081050D">
        <w:t xml:space="preserve">community </w:t>
      </w:r>
      <w:r w:rsidRPr="0081050D">
        <w:t xml:space="preserve">transition (as of June 30, 2018).  Extracting Class Members </w:t>
      </w:r>
      <w:proofErr w:type="gramStart"/>
      <w:r w:rsidRPr="0081050D">
        <w:t>who</w:t>
      </w:r>
      <w:proofErr w:type="gramEnd"/>
      <w:r w:rsidRPr="0081050D">
        <w:t xml:space="preserve"> </w:t>
      </w:r>
      <w:r w:rsidRPr="0081050D">
        <w:rPr>
          <w:i/>
        </w:rPr>
        <w:t>Decline</w:t>
      </w:r>
      <w:r w:rsidRPr="0081050D">
        <w:t xml:space="preserve"> (69</w:t>
      </w:r>
      <w:r w:rsidR="00CB647C">
        <w:t>0</w:t>
      </w:r>
      <w:r w:rsidRPr="0081050D">
        <w:t xml:space="preserve">) and those who are </w:t>
      </w:r>
      <w:r w:rsidRPr="0081050D">
        <w:rPr>
          <w:i/>
        </w:rPr>
        <w:t xml:space="preserve">Inaccessible </w:t>
      </w:r>
      <w:r w:rsidRPr="0081050D">
        <w:t>(77</w:t>
      </w:r>
      <w:r w:rsidR="00CB647C">
        <w:t>9</w:t>
      </w:r>
      <w:r w:rsidRPr="0081050D">
        <w:t>)</w:t>
      </w:r>
      <w:r w:rsidR="00EC2D42" w:rsidRPr="0081050D">
        <w:t xml:space="preserve">, there </w:t>
      </w:r>
      <w:r w:rsidR="00E60FCA" w:rsidRPr="0081050D">
        <w:t>remain</w:t>
      </w:r>
      <w:r w:rsidR="00EC2D42" w:rsidRPr="0081050D">
        <w:t xml:space="preserve"> 2,8</w:t>
      </w:r>
      <w:r w:rsidR="00C167B4">
        <w:t>3</w:t>
      </w:r>
      <w:r w:rsidR="00CB647C">
        <w:t>5</w:t>
      </w:r>
      <w:r w:rsidR="00B96C9F" w:rsidRPr="0081050D">
        <w:t xml:space="preserve"> </w:t>
      </w:r>
      <w:r w:rsidR="00CC42EA">
        <w:t xml:space="preserve">(N) </w:t>
      </w:r>
      <w:r w:rsidR="00B96C9F" w:rsidRPr="0081050D">
        <w:t xml:space="preserve">Class Members </w:t>
      </w:r>
      <w:r w:rsidR="00EC2D42" w:rsidRPr="0081050D">
        <w:t>who are currently approved for transition</w:t>
      </w:r>
      <w:r w:rsidR="00EC2D42" w:rsidRPr="00826378">
        <w:t xml:space="preserve">.    </w:t>
      </w:r>
      <w:r w:rsidR="00C167B4" w:rsidRPr="00826378">
        <w:t>As of June 30, 2018</w:t>
      </w:r>
      <w:r w:rsidR="00EC2D42" w:rsidRPr="00826378">
        <w:t>, 2,</w:t>
      </w:r>
      <w:r w:rsidR="00CB647C" w:rsidRPr="00826378">
        <w:t>265</w:t>
      </w:r>
      <w:r w:rsidR="00EC2D42" w:rsidRPr="00826378">
        <w:t xml:space="preserve"> Class Members have transitioned to </w:t>
      </w:r>
      <w:r w:rsidR="00C167B4" w:rsidRPr="00826378">
        <w:t>the community</w:t>
      </w:r>
      <w:r w:rsidR="00EC2D42" w:rsidRPr="00826378">
        <w:t xml:space="preserve">, </w:t>
      </w:r>
      <w:r w:rsidR="00CB647C" w:rsidRPr="00826378">
        <w:t xml:space="preserve">which </w:t>
      </w:r>
      <w:r w:rsidR="00EC2D42" w:rsidRPr="00826378">
        <w:t>includ</w:t>
      </w:r>
      <w:r w:rsidR="00CB647C" w:rsidRPr="00826378">
        <w:t>es</w:t>
      </w:r>
      <w:r w:rsidR="00EC2D42" w:rsidRPr="00826378">
        <w:t xml:space="preserve"> 52 </w:t>
      </w:r>
      <w:r w:rsidR="00CC42EA" w:rsidRPr="00826378">
        <w:t xml:space="preserve">Class Members </w:t>
      </w:r>
      <w:r w:rsidR="00E60FCA" w:rsidRPr="00826378">
        <w:t>who</w:t>
      </w:r>
      <w:r w:rsidR="00EC2D42" w:rsidRPr="00826378">
        <w:t xml:space="preserve"> transitioned to </w:t>
      </w:r>
      <w:r w:rsidR="00E60FCA" w:rsidRPr="00826378">
        <w:t>r</w:t>
      </w:r>
      <w:r w:rsidR="00EC2D42" w:rsidRPr="00826378">
        <w:t>esidential settings</w:t>
      </w:r>
      <w:r w:rsidR="00CB647C" w:rsidRPr="00826378">
        <w:t xml:space="preserve"> and</w:t>
      </w:r>
      <w:r w:rsidR="00EC2D42" w:rsidRPr="00826378">
        <w:t xml:space="preserve"> 38 </w:t>
      </w:r>
      <w:r w:rsidR="00E60FCA" w:rsidRPr="00826378">
        <w:t xml:space="preserve">who transitioned </w:t>
      </w:r>
      <w:r w:rsidR="00EC2D42" w:rsidRPr="00826378">
        <w:t xml:space="preserve">from the </w:t>
      </w:r>
      <w:proofErr w:type="spellStart"/>
      <w:r w:rsidR="00EC2D42" w:rsidRPr="00826378">
        <w:t>Wincrest</w:t>
      </w:r>
      <w:proofErr w:type="spellEnd"/>
      <w:r w:rsidR="00EC2D42" w:rsidRPr="00826378">
        <w:t xml:space="preserve"> closure and Colbert transfers.  </w:t>
      </w:r>
      <w:r w:rsidR="00CC42EA" w:rsidRPr="00826378">
        <w:t xml:space="preserve">Therefore, </w:t>
      </w:r>
      <w:r w:rsidR="00EC2D42" w:rsidRPr="00826378">
        <w:t>2,2</w:t>
      </w:r>
      <w:r w:rsidR="00CB647C" w:rsidRPr="00826378">
        <w:t>65</w:t>
      </w:r>
      <w:r w:rsidR="00EC2D42" w:rsidRPr="00826378">
        <w:t>/2,8</w:t>
      </w:r>
      <w:r w:rsidR="00C167B4" w:rsidRPr="00826378">
        <w:t>3</w:t>
      </w:r>
      <w:r w:rsidR="00CB647C" w:rsidRPr="00826378">
        <w:t>5</w:t>
      </w:r>
      <w:r w:rsidR="00EC2D42" w:rsidRPr="00826378">
        <w:t xml:space="preserve"> = </w:t>
      </w:r>
      <w:r w:rsidR="00CB647C" w:rsidRPr="00826378">
        <w:t>80</w:t>
      </w:r>
      <w:r w:rsidR="00EC2D42" w:rsidRPr="00826378">
        <w:t xml:space="preserve">% of all Class Members assessed as appropriate </w:t>
      </w:r>
      <w:r w:rsidR="00CB647C" w:rsidRPr="00826378">
        <w:t>to</w:t>
      </w:r>
      <w:r w:rsidR="00EC2D42" w:rsidRPr="00826378">
        <w:t xml:space="preserve"> liv</w:t>
      </w:r>
      <w:r w:rsidR="00CB647C" w:rsidRPr="00826378">
        <w:t>e</w:t>
      </w:r>
      <w:r w:rsidR="00EC2D42" w:rsidRPr="00826378">
        <w:t xml:space="preserve"> in CB settings have been transitioned to the community</w:t>
      </w:r>
      <w:r w:rsidR="00826378" w:rsidRPr="00826378">
        <w:t>.</w:t>
      </w:r>
      <w:r w:rsidR="00EC2D42" w:rsidRPr="00CB647C">
        <w:rPr>
          <w:color w:val="FF0000"/>
        </w:rPr>
        <w:t xml:space="preserve"> </w:t>
      </w:r>
    </w:p>
    <w:p w:rsidR="00E22478" w:rsidRDefault="0097301C" w:rsidP="0073231F">
      <w:pPr>
        <w:rPr>
          <w:rFonts w:cs="Times New Roman"/>
        </w:rPr>
      </w:pPr>
      <w:r>
        <w:rPr>
          <w:rFonts w:cs="Times New Roman"/>
        </w:rPr>
        <w:t xml:space="preserve"> As of </w:t>
      </w:r>
      <w:r w:rsidR="0073231F" w:rsidRPr="0081050D">
        <w:rPr>
          <w:rFonts w:cs="Times New Roman"/>
        </w:rPr>
        <w:t>January 1, 2018</w:t>
      </w:r>
      <w:r w:rsidR="0052287A">
        <w:rPr>
          <w:rFonts w:cs="Times New Roman"/>
        </w:rPr>
        <w:t>,</w:t>
      </w:r>
      <w:r w:rsidR="0073231F" w:rsidRPr="0081050D">
        <w:rPr>
          <w:rFonts w:cs="Times New Roman"/>
        </w:rPr>
        <w:t xml:space="preserve"> there were 121 </w:t>
      </w:r>
      <w:r w:rsidR="00E22478">
        <w:rPr>
          <w:rFonts w:cs="Times New Roman"/>
        </w:rPr>
        <w:t>Class Member</w:t>
      </w:r>
      <w:r>
        <w:rPr>
          <w:rFonts w:cs="Times New Roman"/>
        </w:rPr>
        <w:t xml:space="preserve">s who </w:t>
      </w:r>
      <w:r w:rsidR="0073231F" w:rsidRPr="0081050D">
        <w:rPr>
          <w:rFonts w:cs="Times New Roman"/>
        </w:rPr>
        <w:t>transition</w:t>
      </w:r>
      <w:r>
        <w:rPr>
          <w:rFonts w:cs="Times New Roman"/>
        </w:rPr>
        <w:t>ed</w:t>
      </w:r>
      <w:r w:rsidR="0052287A">
        <w:rPr>
          <w:rFonts w:cs="Times New Roman"/>
        </w:rPr>
        <w:t xml:space="preserve"> to the community</w:t>
      </w:r>
      <w:r w:rsidR="007C2DC1">
        <w:rPr>
          <w:rFonts w:cs="Times New Roman"/>
        </w:rPr>
        <w:t xml:space="preserve"> </w:t>
      </w:r>
      <w:r>
        <w:rPr>
          <w:rFonts w:cs="Times New Roman"/>
        </w:rPr>
        <w:t>during the first six months of F</w:t>
      </w:r>
      <w:r w:rsidR="00A1545F">
        <w:rPr>
          <w:rFonts w:cs="Times New Roman"/>
        </w:rPr>
        <w:t>Y18</w:t>
      </w:r>
      <w:r w:rsidR="0073231F" w:rsidRPr="0081050D">
        <w:rPr>
          <w:rFonts w:cs="Times New Roman"/>
        </w:rPr>
        <w:t>.   During the third and fourth quarters</w:t>
      </w:r>
      <w:r w:rsidR="007C2DC1">
        <w:rPr>
          <w:rFonts w:cs="Times New Roman"/>
        </w:rPr>
        <w:t xml:space="preserve"> an additional 194 </w:t>
      </w:r>
      <w:r w:rsidR="006743C2">
        <w:rPr>
          <w:rFonts w:cs="Times New Roman"/>
        </w:rPr>
        <w:t>C</w:t>
      </w:r>
      <w:r>
        <w:rPr>
          <w:rFonts w:cs="Times New Roman"/>
        </w:rPr>
        <w:t xml:space="preserve">lass </w:t>
      </w:r>
      <w:r w:rsidR="006743C2">
        <w:rPr>
          <w:rFonts w:cs="Times New Roman"/>
        </w:rPr>
        <w:t>M</w:t>
      </w:r>
      <w:r>
        <w:rPr>
          <w:rFonts w:cs="Times New Roman"/>
        </w:rPr>
        <w:t>ember</w:t>
      </w:r>
      <w:r w:rsidR="006743C2">
        <w:rPr>
          <w:rFonts w:cs="Times New Roman"/>
        </w:rPr>
        <w:t xml:space="preserve"> </w:t>
      </w:r>
      <w:r w:rsidR="007C2DC1">
        <w:rPr>
          <w:rFonts w:cs="Times New Roman"/>
        </w:rPr>
        <w:t xml:space="preserve">transitions </w:t>
      </w:r>
      <w:r w:rsidR="00E22478">
        <w:rPr>
          <w:rFonts w:cs="Times New Roman"/>
        </w:rPr>
        <w:t>occurred</w:t>
      </w:r>
      <w:r w:rsidR="007C2DC1">
        <w:rPr>
          <w:rFonts w:cs="Times New Roman"/>
        </w:rPr>
        <w:t xml:space="preserve">.  The final </w:t>
      </w:r>
      <w:r w:rsidR="00E22478">
        <w:rPr>
          <w:rFonts w:cs="Times New Roman"/>
        </w:rPr>
        <w:t xml:space="preserve">FY18 </w:t>
      </w:r>
      <w:r w:rsidR="007C2DC1">
        <w:rPr>
          <w:rFonts w:cs="Times New Roman"/>
        </w:rPr>
        <w:t xml:space="preserve">count of </w:t>
      </w:r>
      <w:r w:rsidR="00E22478">
        <w:rPr>
          <w:rFonts w:cs="Times New Roman"/>
        </w:rPr>
        <w:t xml:space="preserve">total </w:t>
      </w:r>
      <w:r w:rsidR="007C2DC1">
        <w:rPr>
          <w:rFonts w:cs="Times New Roman"/>
        </w:rPr>
        <w:t>transitions is 315 or 79% o</w:t>
      </w:r>
      <w:r w:rsidR="00E22478">
        <w:rPr>
          <w:rFonts w:cs="Times New Roman"/>
        </w:rPr>
        <w:t>f</w:t>
      </w:r>
      <w:r w:rsidR="007C2DC1">
        <w:rPr>
          <w:rFonts w:cs="Times New Roman"/>
        </w:rPr>
        <w:t xml:space="preserve"> the </w:t>
      </w:r>
      <w:r w:rsidR="00635D54">
        <w:rPr>
          <w:rFonts w:cs="Times New Roman"/>
        </w:rPr>
        <w:t xml:space="preserve">transition target </w:t>
      </w:r>
      <w:r w:rsidR="0052287A">
        <w:rPr>
          <w:rFonts w:cs="Times New Roman"/>
        </w:rPr>
        <w:t>of</w:t>
      </w:r>
      <w:r w:rsidR="00635D54">
        <w:rPr>
          <w:rFonts w:cs="Times New Roman"/>
        </w:rPr>
        <w:t xml:space="preserve"> 400</w:t>
      </w:r>
      <w:r w:rsidR="007C2DC1">
        <w:rPr>
          <w:rFonts w:cs="Times New Roman"/>
        </w:rPr>
        <w:t xml:space="preserve">.  </w:t>
      </w:r>
      <w:r w:rsidR="006743C2">
        <w:rPr>
          <w:rFonts w:cs="Times New Roman"/>
        </w:rPr>
        <w:t xml:space="preserve">From January 1 through June 30, 2018, </w:t>
      </w:r>
      <w:r w:rsidR="0073231F" w:rsidRPr="0081050D">
        <w:rPr>
          <w:rFonts w:cs="Times New Roman"/>
        </w:rPr>
        <w:t xml:space="preserve">535 Class Members were approved </w:t>
      </w:r>
      <w:r w:rsidR="006743C2">
        <w:rPr>
          <w:rFonts w:cs="Times New Roman"/>
        </w:rPr>
        <w:t xml:space="preserve">for transition </w:t>
      </w:r>
      <w:r w:rsidR="0073231F" w:rsidRPr="0081050D">
        <w:rPr>
          <w:rFonts w:cs="Times New Roman"/>
        </w:rPr>
        <w:t xml:space="preserve">and assigned to </w:t>
      </w:r>
      <w:r w:rsidR="006743C2">
        <w:rPr>
          <w:rFonts w:cs="Times New Roman"/>
        </w:rPr>
        <w:t xml:space="preserve">CMHCs.  In addition to the 535 assessed and referred during this period, an additional 147 CMs were assigned to CMHCs during this period who were assessed prior to January 1, 2018.  A total of 682 CM </w:t>
      </w:r>
      <w:proofErr w:type="gramStart"/>
      <w:r w:rsidR="006743C2">
        <w:rPr>
          <w:rFonts w:cs="Times New Roman"/>
        </w:rPr>
        <w:t>were</w:t>
      </w:r>
      <w:proofErr w:type="gramEnd"/>
      <w:r w:rsidR="006743C2">
        <w:rPr>
          <w:rFonts w:cs="Times New Roman"/>
        </w:rPr>
        <w:t xml:space="preserve"> therefore referred for transition to the CMHCs between January 1 and June 30, 2018.</w:t>
      </w:r>
      <w:r w:rsidR="0073231F" w:rsidRPr="0081050D">
        <w:rPr>
          <w:rFonts w:cs="Times New Roman"/>
        </w:rPr>
        <w:t xml:space="preserve">    </w:t>
      </w:r>
    </w:p>
    <w:p w:rsidR="0073231F" w:rsidRPr="0081050D" w:rsidRDefault="0073231F" w:rsidP="0073231F">
      <w:pPr>
        <w:rPr>
          <w:rFonts w:cs="Times New Roman"/>
        </w:rPr>
      </w:pPr>
      <w:r w:rsidRPr="0081050D">
        <w:rPr>
          <w:rFonts w:cs="Times New Roman"/>
        </w:rPr>
        <w:t xml:space="preserve">One hundred and three </w:t>
      </w:r>
      <w:r w:rsidR="00C82512" w:rsidRPr="0081050D">
        <w:rPr>
          <w:rFonts w:cs="Times New Roman"/>
        </w:rPr>
        <w:t>(103) Class Members</w:t>
      </w:r>
      <w:r w:rsidR="00B3037C">
        <w:rPr>
          <w:rFonts w:cs="Times New Roman"/>
        </w:rPr>
        <w:t xml:space="preserve"> out </w:t>
      </w:r>
      <w:r w:rsidRPr="0081050D">
        <w:rPr>
          <w:rFonts w:cs="Times New Roman"/>
        </w:rPr>
        <w:t xml:space="preserve">of the 535 </w:t>
      </w:r>
      <w:r w:rsidR="00826378">
        <w:rPr>
          <w:rFonts w:cs="Times New Roman"/>
        </w:rPr>
        <w:t xml:space="preserve">assigned </w:t>
      </w:r>
      <w:r w:rsidR="00C82512" w:rsidRPr="0081050D">
        <w:rPr>
          <w:rFonts w:cs="Times New Roman"/>
        </w:rPr>
        <w:t xml:space="preserve">(19%) </w:t>
      </w:r>
      <w:r w:rsidRPr="0081050D">
        <w:rPr>
          <w:rFonts w:cs="Times New Roman"/>
        </w:rPr>
        <w:t xml:space="preserve">were referred </w:t>
      </w:r>
      <w:r w:rsidR="00B3037C">
        <w:rPr>
          <w:rFonts w:cs="Times New Roman"/>
        </w:rPr>
        <w:t>for</w:t>
      </w:r>
      <w:r w:rsidRPr="0081050D">
        <w:rPr>
          <w:rFonts w:cs="Times New Roman"/>
        </w:rPr>
        <w:t xml:space="preserve"> </w:t>
      </w:r>
      <w:r w:rsidR="006743C2">
        <w:rPr>
          <w:rFonts w:cs="Times New Roman"/>
        </w:rPr>
        <w:t xml:space="preserve">the </w:t>
      </w:r>
      <w:r w:rsidR="00423332">
        <w:rPr>
          <w:rFonts w:cs="Times New Roman"/>
        </w:rPr>
        <w:t xml:space="preserve">CAST </w:t>
      </w:r>
      <w:r w:rsidRPr="0081050D">
        <w:rPr>
          <w:rFonts w:cs="Times New Roman"/>
        </w:rPr>
        <w:t>Clinical Case Review Panel (CCRP</w:t>
      </w:r>
      <w:r w:rsidR="00C82512" w:rsidRPr="0081050D">
        <w:rPr>
          <w:rFonts w:cs="Times New Roman"/>
        </w:rPr>
        <w:t>)</w:t>
      </w:r>
      <w:r w:rsidRPr="0081050D">
        <w:rPr>
          <w:rFonts w:cs="Times New Roman"/>
        </w:rPr>
        <w:t xml:space="preserve">. </w:t>
      </w:r>
      <w:r w:rsidR="00C82512" w:rsidRPr="0081050D">
        <w:rPr>
          <w:rFonts w:cs="Times New Roman"/>
        </w:rPr>
        <w:t xml:space="preserve">  </w:t>
      </w:r>
      <w:r w:rsidRPr="0081050D">
        <w:rPr>
          <w:rFonts w:cs="Times New Roman"/>
        </w:rPr>
        <w:t>Finally, of the 5</w:t>
      </w:r>
      <w:r w:rsidR="00C82512" w:rsidRPr="0081050D">
        <w:rPr>
          <w:rFonts w:cs="Times New Roman"/>
        </w:rPr>
        <w:t>3</w:t>
      </w:r>
      <w:r w:rsidRPr="0081050D">
        <w:rPr>
          <w:rFonts w:cs="Times New Roman"/>
        </w:rPr>
        <w:t xml:space="preserve">5 approved </w:t>
      </w:r>
      <w:r w:rsidR="00C82512" w:rsidRPr="0081050D">
        <w:rPr>
          <w:rFonts w:cs="Times New Roman"/>
        </w:rPr>
        <w:t xml:space="preserve">through the Resident Review process for </w:t>
      </w:r>
      <w:r w:rsidRPr="0081050D">
        <w:rPr>
          <w:rFonts w:cs="Times New Roman"/>
        </w:rPr>
        <w:t xml:space="preserve">transition, 89 </w:t>
      </w:r>
      <w:r w:rsidR="00C82512" w:rsidRPr="0081050D">
        <w:rPr>
          <w:rFonts w:cs="Times New Roman"/>
        </w:rPr>
        <w:t xml:space="preserve">Class Members </w:t>
      </w:r>
      <w:r w:rsidR="00B3037C" w:rsidRPr="0081050D">
        <w:rPr>
          <w:rFonts w:cs="Times New Roman"/>
        </w:rPr>
        <w:t xml:space="preserve">(17%) </w:t>
      </w:r>
      <w:r w:rsidR="00C82512" w:rsidRPr="0081050D">
        <w:rPr>
          <w:rFonts w:cs="Times New Roman"/>
        </w:rPr>
        <w:t>decline</w:t>
      </w:r>
      <w:r w:rsidR="006743C2">
        <w:rPr>
          <w:rFonts w:cs="Times New Roman"/>
        </w:rPr>
        <w:t>d</w:t>
      </w:r>
      <w:r w:rsidR="00826378">
        <w:rPr>
          <w:rFonts w:cs="Times New Roman"/>
        </w:rPr>
        <w:t xml:space="preserve"> an offer</w:t>
      </w:r>
      <w:r w:rsidR="00C82512" w:rsidRPr="0081050D">
        <w:rPr>
          <w:rFonts w:cs="Times New Roman"/>
        </w:rPr>
        <w:t xml:space="preserve"> </w:t>
      </w:r>
      <w:r w:rsidRPr="0081050D">
        <w:rPr>
          <w:rFonts w:cs="Times New Roman"/>
        </w:rPr>
        <w:t xml:space="preserve">to transition. </w:t>
      </w:r>
      <w:r w:rsidR="00C82512" w:rsidRPr="0081050D">
        <w:rPr>
          <w:rFonts w:cs="Times New Roman"/>
        </w:rPr>
        <w:t xml:space="preserve">  </w:t>
      </w:r>
      <w:r w:rsidR="006B7504">
        <w:rPr>
          <w:rFonts w:cs="Times New Roman"/>
        </w:rPr>
        <w:t xml:space="preserve">Those </w:t>
      </w:r>
      <w:r w:rsidRPr="0081050D">
        <w:rPr>
          <w:rFonts w:cs="Times New Roman"/>
        </w:rPr>
        <w:t>C</w:t>
      </w:r>
      <w:r w:rsidR="0054149F" w:rsidRPr="0081050D">
        <w:rPr>
          <w:rFonts w:cs="Times New Roman"/>
        </w:rPr>
        <w:t>lass Members</w:t>
      </w:r>
      <w:r w:rsidR="00B3037C">
        <w:rPr>
          <w:rFonts w:cs="Times New Roman"/>
        </w:rPr>
        <w:t xml:space="preserve"> who decline</w:t>
      </w:r>
      <w:r w:rsidR="006743C2">
        <w:rPr>
          <w:rFonts w:cs="Times New Roman"/>
        </w:rPr>
        <w:t>d</w:t>
      </w:r>
      <w:r w:rsidRPr="0081050D">
        <w:rPr>
          <w:rFonts w:cs="Times New Roman"/>
        </w:rPr>
        <w:t xml:space="preserve"> are </w:t>
      </w:r>
      <w:r w:rsidR="0054149F" w:rsidRPr="0081050D">
        <w:rPr>
          <w:rFonts w:cs="Times New Roman"/>
        </w:rPr>
        <w:t xml:space="preserve">continuously </w:t>
      </w:r>
      <w:r w:rsidRPr="0081050D">
        <w:rPr>
          <w:rFonts w:cs="Times New Roman"/>
        </w:rPr>
        <w:t>afforded opportunit</w:t>
      </w:r>
      <w:r w:rsidR="0054149F" w:rsidRPr="0081050D">
        <w:rPr>
          <w:rFonts w:cs="Times New Roman"/>
        </w:rPr>
        <w:t>ies</w:t>
      </w:r>
      <w:r w:rsidRPr="0081050D">
        <w:rPr>
          <w:rFonts w:cs="Times New Roman"/>
        </w:rPr>
        <w:t xml:space="preserve"> to </w:t>
      </w:r>
      <w:r w:rsidR="0054149F" w:rsidRPr="0081050D">
        <w:rPr>
          <w:rFonts w:cs="Times New Roman"/>
        </w:rPr>
        <w:t xml:space="preserve">be reassessed should they </w:t>
      </w:r>
      <w:r w:rsidRPr="0081050D">
        <w:rPr>
          <w:rFonts w:cs="Times New Roman"/>
        </w:rPr>
        <w:t xml:space="preserve">change their </w:t>
      </w:r>
      <w:r w:rsidR="006B7504">
        <w:rPr>
          <w:rFonts w:cs="Times New Roman"/>
        </w:rPr>
        <w:t>minds</w:t>
      </w:r>
      <w:r w:rsidRPr="0081050D">
        <w:rPr>
          <w:rFonts w:cs="Times New Roman"/>
        </w:rPr>
        <w:t xml:space="preserve">. </w:t>
      </w:r>
    </w:p>
    <w:p w:rsidR="00BC656C" w:rsidRDefault="0054149F" w:rsidP="0073231F">
      <w:pPr>
        <w:rPr>
          <w:rFonts w:cs="Times New Roman"/>
        </w:rPr>
      </w:pPr>
      <w:r w:rsidRPr="0081050D">
        <w:rPr>
          <w:rFonts w:cs="Times New Roman"/>
        </w:rPr>
        <w:t>DMH is benchmarking the time frame from the point of Resident Review ent</w:t>
      </w:r>
      <w:r w:rsidR="00B3037C">
        <w:rPr>
          <w:rFonts w:cs="Times New Roman"/>
        </w:rPr>
        <w:t>ry</w:t>
      </w:r>
      <w:r w:rsidRPr="0081050D">
        <w:rPr>
          <w:rFonts w:cs="Times New Roman"/>
        </w:rPr>
        <w:t xml:space="preserve"> (into the Williams data base) and the time of assignment to a community agency</w:t>
      </w:r>
      <w:r w:rsidRPr="00C167B4">
        <w:rPr>
          <w:rFonts w:cs="Times New Roman"/>
          <w:b/>
        </w:rPr>
        <w:t>.</w:t>
      </w:r>
      <w:r w:rsidR="00BC656C" w:rsidRPr="00C167B4">
        <w:rPr>
          <w:rFonts w:cs="Times New Roman"/>
          <w:b/>
        </w:rPr>
        <w:t xml:space="preserve">  </w:t>
      </w:r>
      <w:r w:rsidR="0073231F" w:rsidRPr="00C167B4">
        <w:rPr>
          <w:rFonts w:cs="Times New Roman"/>
          <w:b/>
        </w:rPr>
        <w:t xml:space="preserve"> </w:t>
      </w:r>
      <w:r w:rsidR="00BC656C" w:rsidRPr="006B7504">
        <w:rPr>
          <w:rFonts w:cs="Times New Roman"/>
        </w:rPr>
        <w:t>Table</w:t>
      </w:r>
      <w:r w:rsidR="00C167B4" w:rsidRPr="006B7504">
        <w:rPr>
          <w:rFonts w:cs="Times New Roman"/>
        </w:rPr>
        <w:t xml:space="preserve"> K</w:t>
      </w:r>
      <w:r w:rsidR="006B7504">
        <w:rPr>
          <w:rFonts w:cs="Times New Roman"/>
        </w:rPr>
        <w:t xml:space="preserve"> </w:t>
      </w:r>
      <w:r w:rsidR="0052287A">
        <w:rPr>
          <w:rFonts w:cs="Times New Roman"/>
        </w:rPr>
        <w:t xml:space="preserve">and </w:t>
      </w:r>
      <w:proofErr w:type="gramStart"/>
      <w:r w:rsidR="0052287A">
        <w:rPr>
          <w:rFonts w:cs="Times New Roman"/>
        </w:rPr>
        <w:t>K(</w:t>
      </w:r>
      <w:proofErr w:type="gramEnd"/>
      <w:r w:rsidR="0052287A">
        <w:rPr>
          <w:rFonts w:cs="Times New Roman"/>
        </w:rPr>
        <w:t xml:space="preserve">1) </w:t>
      </w:r>
      <w:r w:rsidR="0073231F" w:rsidRPr="0081050D">
        <w:rPr>
          <w:rFonts w:cs="Times New Roman"/>
        </w:rPr>
        <w:t xml:space="preserve">displays the </w:t>
      </w:r>
      <w:r w:rsidR="00423332">
        <w:rPr>
          <w:rFonts w:cs="Times New Roman"/>
        </w:rPr>
        <w:t xml:space="preserve">respective </w:t>
      </w:r>
      <w:r w:rsidR="0073231F" w:rsidRPr="0081050D">
        <w:rPr>
          <w:rFonts w:cs="Times New Roman"/>
        </w:rPr>
        <w:t xml:space="preserve">month </w:t>
      </w:r>
      <w:r w:rsidR="00BC656C" w:rsidRPr="0081050D">
        <w:rPr>
          <w:rFonts w:cs="Times New Roman"/>
        </w:rPr>
        <w:t xml:space="preserve">during </w:t>
      </w:r>
      <w:r w:rsidR="0073231F" w:rsidRPr="0081050D">
        <w:rPr>
          <w:rFonts w:cs="Times New Roman"/>
        </w:rPr>
        <w:t xml:space="preserve">this reporting period when </w:t>
      </w:r>
      <w:r w:rsidR="00BC656C" w:rsidRPr="0081050D">
        <w:rPr>
          <w:rFonts w:cs="Times New Roman"/>
        </w:rPr>
        <w:t>R</w:t>
      </w:r>
      <w:r w:rsidR="0073231F" w:rsidRPr="0081050D">
        <w:rPr>
          <w:rFonts w:cs="Times New Roman"/>
        </w:rPr>
        <w:t xml:space="preserve">esident </w:t>
      </w:r>
      <w:r w:rsidR="00BC656C" w:rsidRPr="0081050D">
        <w:rPr>
          <w:rFonts w:cs="Times New Roman"/>
        </w:rPr>
        <w:t>R</w:t>
      </w:r>
      <w:r w:rsidR="0073231F" w:rsidRPr="0081050D">
        <w:rPr>
          <w:rFonts w:cs="Times New Roman"/>
        </w:rPr>
        <w:t>eview assessments were entered in</w:t>
      </w:r>
      <w:r w:rsidR="006B7504">
        <w:rPr>
          <w:rFonts w:cs="Times New Roman"/>
        </w:rPr>
        <w:t>to</w:t>
      </w:r>
      <w:r w:rsidR="00724F69">
        <w:rPr>
          <w:rFonts w:cs="Times New Roman"/>
        </w:rPr>
        <w:t xml:space="preserve"> </w:t>
      </w:r>
      <w:r w:rsidR="00BC656C" w:rsidRPr="0081050D">
        <w:rPr>
          <w:rFonts w:cs="Times New Roman"/>
        </w:rPr>
        <w:t>the</w:t>
      </w:r>
      <w:r w:rsidR="0073231F" w:rsidRPr="0081050D">
        <w:rPr>
          <w:rFonts w:cs="Times New Roman"/>
        </w:rPr>
        <w:t xml:space="preserve"> </w:t>
      </w:r>
      <w:r w:rsidR="00BC656C" w:rsidRPr="0081050D">
        <w:rPr>
          <w:rFonts w:cs="Times New Roman"/>
        </w:rPr>
        <w:t>Williams data base</w:t>
      </w:r>
      <w:r w:rsidR="0073231F" w:rsidRPr="0081050D">
        <w:rPr>
          <w:rFonts w:cs="Times New Roman"/>
        </w:rPr>
        <w:t xml:space="preserve"> to </w:t>
      </w:r>
      <w:r w:rsidR="00BC656C" w:rsidRPr="0081050D">
        <w:rPr>
          <w:rFonts w:cs="Times New Roman"/>
        </w:rPr>
        <w:t xml:space="preserve">the point </w:t>
      </w:r>
      <w:r w:rsidR="0073231F" w:rsidRPr="0081050D">
        <w:rPr>
          <w:rFonts w:cs="Times New Roman"/>
        </w:rPr>
        <w:t xml:space="preserve">when the </w:t>
      </w:r>
      <w:r w:rsidR="00BC656C" w:rsidRPr="0081050D">
        <w:rPr>
          <w:rFonts w:cs="Times New Roman"/>
        </w:rPr>
        <w:t>assignment/</w:t>
      </w:r>
      <w:r w:rsidR="0073231F" w:rsidRPr="0081050D">
        <w:rPr>
          <w:rFonts w:cs="Times New Roman"/>
        </w:rPr>
        <w:t xml:space="preserve">referral was </w:t>
      </w:r>
      <w:r w:rsidR="00BC656C" w:rsidRPr="0081050D">
        <w:rPr>
          <w:rFonts w:cs="Times New Roman"/>
        </w:rPr>
        <w:t xml:space="preserve">transmitted </w:t>
      </w:r>
      <w:r w:rsidR="0073231F" w:rsidRPr="0081050D">
        <w:rPr>
          <w:rFonts w:cs="Times New Roman"/>
        </w:rPr>
        <w:t xml:space="preserve">to </w:t>
      </w:r>
      <w:r w:rsidR="006B7504">
        <w:rPr>
          <w:rFonts w:cs="Times New Roman"/>
        </w:rPr>
        <w:t xml:space="preserve">a </w:t>
      </w:r>
      <w:r w:rsidR="00BC656C" w:rsidRPr="0081050D">
        <w:rPr>
          <w:rFonts w:cs="Times New Roman"/>
        </w:rPr>
        <w:t xml:space="preserve">Williams </w:t>
      </w:r>
      <w:r w:rsidR="006743C2">
        <w:rPr>
          <w:rFonts w:cs="Times New Roman"/>
        </w:rPr>
        <w:t>CMHC</w:t>
      </w:r>
      <w:r w:rsidR="0073231F" w:rsidRPr="0081050D">
        <w:rPr>
          <w:rFonts w:cs="Times New Roman"/>
        </w:rPr>
        <w:t>. The blue line represent</w:t>
      </w:r>
      <w:r w:rsidR="00BC656C" w:rsidRPr="0081050D">
        <w:rPr>
          <w:rFonts w:cs="Times New Roman"/>
        </w:rPr>
        <w:t>s</w:t>
      </w:r>
      <w:r w:rsidR="0073231F" w:rsidRPr="0081050D">
        <w:rPr>
          <w:rFonts w:cs="Times New Roman"/>
        </w:rPr>
        <w:t xml:space="preserve"> </w:t>
      </w:r>
      <w:r w:rsidR="00423332">
        <w:rPr>
          <w:rFonts w:cs="Times New Roman"/>
        </w:rPr>
        <w:t>R</w:t>
      </w:r>
      <w:r w:rsidR="0073231F" w:rsidRPr="0081050D">
        <w:rPr>
          <w:rFonts w:cs="Times New Roman"/>
        </w:rPr>
        <w:t xml:space="preserve">esident </w:t>
      </w:r>
      <w:r w:rsidR="00423332">
        <w:rPr>
          <w:rFonts w:cs="Times New Roman"/>
        </w:rPr>
        <w:t>R</w:t>
      </w:r>
      <w:r w:rsidR="0073231F" w:rsidRPr="0081050D">
        <w:rPr>
          <w:rFonts w:cs="Times New Roman"/>
        </w:rPr>
        <w:t>eview entr</w:t>
      </w:r>
      <w:r w:rsidR="00BC656C" w:rsidRPr="0081050D">
        <w:rPr>
          <w:rFonts w:cs="Times New Roman"/>
        </w:rPr>
        <w:t>ies</w:t>
      </w:r>
      <w:r w:rsidR="0073231F" w:rsidRPr="0081050D">
        <w:rPr>
          <w:rFonts w:cs="Times New Roman"/>
        </w:rPr>
        <w:t xml:space="preserve">, while the red line indicates </w:t>
      </w:r>
      <w:r w:rsidR="00BC656C" w:rsidRPr="0081050D">
        <w:rPr>
          <w:rFonts w:cs="Times New Roman"/>
        </w:rPr>
        <w:t xml:space="preserve">the </w:t>
      </w:r>
      <w:r w:rsidR="0073231F" w:rsidRPr="0081050D">
        <w:rPr>
          <w:rFonts w:cs="Times New Roman"/>
        </w:rPr>
        <w:t>number of days for agency assignment</w:t>
      </w:r>
      <w:r w:rsidR="00B3037C">
        <w:rPr>
          <w:rFonts w:cs="Times New Roman"/>
        </w:rPr>
        <w:t>s</w:t>
      </w:r>
      <w:r w:rsidR="0073231F" w:rsidRPr="0081050D">
        <w:rPr>
          <w:rFonts w:cs="Times New Roman"/>
        </w:rPr>
        <w:t xml:space="preserve"> to </w:t>
      </w:r>
      <w:r w:rsidR="00BC656C" w:rsidRPr="0081050D">
        <w:rPr>
          <w:rFonts w:cs="Times New Roman"/>
        </w:rPr>
        <w:t xml:space="preserve">be released. </w:t>
      </w:r>
    </w:p>
    <w:p w:rsidR="00C167B4" w:rsidRPr="00C167B4" w:rsidRDefault="00C167B4" w:rsidP="0073231F">
      <w:pPr>
        <w:rPr>
          <w:rFonts w:cs="Times New Roman"/>
          <w:b/>
        </w:rPr>
      </w:pPr>
      <w:r w:rsidRPr="00C167B4">
        <w:rPr>
          <w:rFonts w:cs="Times New Roman"/>
          <w:b/>
        </w:rPr>
        <w:t>Table</w:t>
      </w:r>
      <w:r w:rsidR="00256D72">
        <w:rPr>
          <w:rFonts w:cs="Times New Roman"/>
          <w:b/>
        </w:rPr>
        <w:t xml:space="preserve"> </w:t>
      </w:r>
      <w:r w:rsidR="00520EAD">
        <w:rPr>
          <w:rFonts w:cs="Times New Roman"/>
          <w:b/>
        </w:rPr>
        <w:t xml:space="preserve">K </w:t>
      </w:r>
      <w:r w:rsidR="00256D72">
        <w:rPr>
          <w:rFonts w:cs="Times New Roman"/>
          <w:b/>
        </w:rPr>
        <w:t>and K1</w:t>
      </w:r>
    </w:p>
    <w:p w:rsidR="0073231F" w:rsidRDefault="00256D72" w:rsidP="0073231F">
      <w:pPr>
        <w:rPr>
          <w:rFonts w:ascii="Georgia" w:hAnsi="Georgia" w:cs="Times New Roman"/>
        </w:rPr>
      </w:pPr>
      <w:r w:rsidRPr="00376A4B">
        <w:rPr>
          <w:rFonts w:ascii="Georgia" w:hAnsi="Georgia" w:cs="Times New Roman"/>
          <w:noProof/>
        </w:rPr>
        <w:drawing>
          <wp:anchor distT="0" distB="0" distL="114300" distR="114300" simplePos="0" relativeHeight="251658240" behindDoc="0" locked="0" layoutInCell="1" allowOverlap="1" wp14:anchorId="27ABAC7B" wp14:editId="0004A728">
            <wp:simplePos x="0" y="0"/>
            <wp:positionH relativeFrom="margin">
              <wp:align>left</wp:align>
            </wp:positionH>
            <wp:positionV relativeFrom="paragraph">
              <wp:posOffset>12700</wp:posOffset>
            </wp:positionV>
            <wp:extent cx="4238625" cy="3752850"/>
            <wp:effectExtent l="0" t="0" r="9525" b="0"/>
            <wp:wrapThrough wrapText="bothSides">
              <wp:wrapPolygon edited="0">
                <wp:start x="0" y="0"/>
                <wp:lineTo x="0" y="21490"/>
                <wp:lineTo x="21551" y="21490"/>
                <wp:lineTo x="2155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gDays.png"/>
                    <pic:cNvPicPr/>
                  </pic:nvPicPr>
                  <pic:blipFill>
                    <a:blip r:embed="rId20"/>
                    <a:stretch>
                      <a:fillRect/>
                    </a:stretch>
                  </pic:blipFill>
                  <pic:spPr>
                    <a:xfrm>
                      <a:off x="0" y="0"/>
                      <a:ext cx="4238625" cy="3752850"/>
                    </a:xfrm>
                    <a:prstGeom prst="rect">
                      <a:avLst/>
                    </a:prstGeom>
                  </pic:spPr>
                </pic:pic>
              </a:graphicData>
            </a:graphic>
            <wp14:sizeRelH relativeFrom="margin">
              <wp14:pctWidth>0</wp14:pctWidth>
            </wp14:sizeRelH>
            <wp14:sizeRelV relativeFrom="margin">
              <wp14:pctHeight>0</wp14:pctHeight>
            </wp14:sizeRelV>
          </wp:anchor>
        </w:drawing>
      </w:r>
      <w:r w:rsidR="00BC656C" w:rsidRPr="0081050D">
        <w:rPr>
          <w:rFonts w:ascii="Georgia" w:hAnsi="Georgia"/>
          <w:noProof/>
        </w:rPr>
        <w:drawing>
          <wp:inline distT="0" distB="0" distL="0" distR="0" wp14:anchorId="4D8D4D0C" wp14:editId="40D1A2F2">
            <wp:extent cx="4552950" cy="3781425"/>
            <wp:effectExtent l="0" t="0" r="0" b="9525"/>
            <wp:docPr id="5" name="Chart 5">
              <a:extLst xmlns:a="http://schemas.openxmlformats.org/drawingml/2006/main">
                <a:ext uri="{FF2B5EF4-FFF2-40B4-BE49-F238E27FC236}">
                  <a16:creationId xmlns:a16="http://schemas.microsoft.com/office/drawing/2014/main" id="{C3FEE9AF-3444-4FA6-89B5-A5147A29B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656C" w:rsidRDefault="0044463C" w:rsidP="0073231F">
      <w:pPr>
        <w:rPr>
          <w:rFonts w:ascii="Georgia" w:hAnsi="Georgia" w:cs="Times New Roman"/>
        </w:rPr>
      </w:pPr>
      <w:r>
        <w:t>Data has not historically been collected on the average number of days between agency assignment and the service plan – (1) service plan start date or (2) service plan completion date.  However, to bill for Medicaid (MCOs) allowable services, service plans, which evolve into Individual Treatment Plans (ITP) are required, according to the Medicaid Rule.  The Mental Health Assessment must be completed within 30 days after the first face-to-face contact.  The Individual Treatment Plan must be completed within 45 days after the MHA. The Service Plan is completed before the ITP.</w:t>
      </w:r>
    </w:p>
    <w:p w:rsidR="00BC656C" w:rsidRDefault="0081050D" w:rsidP="00BC656C">
      <w:pPr>
        <w:rPr>
          <w:rFonts w:cs="Times New Roman"/>
        </w:rPr>
      </w:pPr>
      <w:r w:rsidRPr="00B3037C">
        <w:rPr>
          <w:rFonts w:cs="Times New Roman"/>
          <w:b/>
        </w:rPr>
        <w:t>T</w:t>
      </w:r>
      <w:r w:rsidR="00BC656C" w:rsidRPr="00B3037C">
        <w:rPr>
          <w:rFonts w:cs="Times New Roman"/>
          <w:b/>
        </w:rPr>
        <w:t>able</w:t>
      </w:r>
      <w:r w:rsidR="00D55B61" w:rsidRPr="00B3037C">
        <w:rPr>
          <w:rFonts w:cs="Times New Roman"/>
          <w:b/>
        </w:rPr>
        <w:t>s</w:t>
      </w:r>
      <w:r w:rsidRPr="00B3037C">
        <w:rPr>
          <w:rFonts w:cs="Times New Roman"/>
          <w:b/>
        </w:rPr>
        <w:t xml:space="preserve"> </w:t>
      </w:r>
      <w:r w:rsidR="00724F69" w:rsidRPr="00B3037C">
        <w:rPr>
          <w:rFonts w:cs="Times New Roman"/>
          <w:b/>
        </w:rPr>
        <w:t>L</w:t>
      </w:r>
      <w:r w:rsidR="006B7504">
        <w:rPr>
          <w:rFonts w:cs="Times New Roman"/>
          <w:b/>
        </w:rPr>
        <w:t xml:space="preserve">, </w:t>
      </w:r>
      <w:proofErr w:type="gramStart"/>
      <w:r w:rsidR="006B7504">
        <w:rPr>
          <w:rFonts w:cs="Times New Roman"/>
          <w:b/>
        </w:rPr>
        <w:t>L(</w:t>
      </w:r>
      <w:proofErr w:type="gramEnd"/>
      <w:r w:rsidR="00D55B61">
        <w:rPr>
          <w:rFonts w:cs="Times New Roman"/>
          <w:b/>
        </w:rPr>
        <w:t>1) and L(2)</w:t>
      </w:r>
      <w:r w:rsidR="00724F69">
        <w:rPr>
          <w:rFonts w:cs="Times New Roman"/>
        </w:rPr>
        <w:t xml:space="preserve"> </w:t>
      </w:r>
      <w:r w:rsidR="00BC656C" w:rsidRPr="0081050D">
        <w:rPr>
          <w:rFonts w:cs="Times New Roman"/>
        </w:rPr>
        <w:t>represent the</w:t>
      </w:r>
      <w:r>
        <w:rPr>
          <w:rFonts w:cs="Times New Roman"/>
        </w:rPr>
        <w:t xml:space="preserve"> actual</w:t>
      </w:r>
      <w:r w:rsidR="00BC656C" w:rsidRPr="0081050D">
        <w:rPr>
          <w:rFonts w:cs="Times New Roman"/>
        </w:rPr>
        <w:t xml:space="preserve"> </w:t>
      </w:r>
      <w:r w:rsidR="00724F69">
        <w:rPr>
          <w:rFonts w:cs="Times New Roman"/>
        </w:rPr>
        <w:t>t</w:t>
      </w:r>
      <w:r w:rsidR="00BC656C" w:rsidRPr="0081050D">
        <w:rPr>
          <w:rFonts w:cs="Times New Roman"/>
        </w:rPr>
        <w:t xml:space="preserve">ransition target each agency was assigned to </w:t>
      </w:r>
      <w:r w:rsidR="00724F69">
        <w:rPr>
          <w:rFonts w:cs="Times New Roman"/>
        </w:rPr>
        <w:t xml:space="preserve">meet </w:t>
      </w:r>
      <w:r>
        <w:rPr>
          <w:rFonts w:cs="Times New Roman"/>
        </w:rPr>
        <w:t>this fiscal years’ transition goal</w:t>
      </w:r>
      <w:r w:rsidR="00BC656C" w:rsidRPr="0081050D">
        <w:rPr>
          <w:rFonts w:cs="Times New Roman"/>
        </w:rPr>
        <w:t xml:space="preserve">. Based on the overall target of 400 transitions, a </w:t>
      </w:r>
      <w:r>
        <w:rPr>
          <w:rFonts w:cs="Times New Roman"/>
        </w:rPr>
        <w:t xml:space="preserve">corresponding </w:t>
      </w:r>
      <w:r w:rsidR="00BC656C" w:rsidRPr="0081050D">
        <w:rPr>
          <w:rFonts w:cs="Times New Roman"/>
        </w:rPr>
        <w:t xml:space="preserve">percentage of referrals should have been assigned to each agency. </w:t>
      </w:r>
      <w:r w:rsidR="006B7504">
        <w:rPr>
          <w:rFonts w:cs="Times New Roman"/>
        </w:rPr>
        <w:t xml:space="preserve"> </w:t>
      </w:r>
      <w:r w:rsidR="00BC656C" w:rsidRPr="0081050D">
        <w:rPr>
          <w:rFonts w:cs="Times New Roman"/>
        </w:rPr>
        <w:t xml:space="preserve">The primary challenge is </w:t>
      </w:r>
      <w:r w:rsidR="00724F69">
        <w:rPr>
          <w:rFonts w:cs="Times New Roman"/>
        </w:rPr>
        <w:t xml:space="preserve">in </w:t>
      </w:r>
      <w:r>
        <w:rPr>
          <w:rFonts w:cs="Times New Roman"/>
        </w:rPr>
        <w:t xml:space="preserve">honoring </w:t>
      </w:r>
      <w:r w:rsidR="00BC656C" w:rsidRPr="0081050D">
        <w:rPr>
          <w:rFonts w:cs="Times New Roman"/>
        </w:rPr>
        <w:t>Class Member preference</w:t>
      </w:r>
      <w:r w:rsidR="006B7504">
        <w:rPr>
          <w:rFonts w:cs="Times New Roman"/>
        </w:rPr>
        <w:t>s</w:t>
      </w:r>
      <w:r>
        <w:rPr>
          <w:rFonts w:cs="Times New Roman"/>
        </w:rPr>
        <w:t xml:space="preserve"> with both provider agency and geographical location.  D</w:t>
      </w:r>
      <w:r w:rsidR="00BC656C" w:rsidRPr="0081050D">
        <w:rPr>
          <w:rFonts w:cs="Times New Roman"/>
        </w:rPr>
        <w:t xml:space="preserve">espite the </w:t>
      </w:r>
      <w:r w:rsidR="007A7076">
        <w:rPr>
          <w:rFonts w:cs="Times New Roman"/>
        </w:rPr>
        <w:t xml:space="preserve">geographic </w:t>
      </w:r>
      <w:r w:rsidR="00BC656C" w:rsidRPr="0081050D">
        <w:rPr>
          <w:rFonts w:cs="Times New Roman"/>
        </w:rPr>
        <w:t>location</w:t>
      </w:r>
      <w:r w:rsidR="007A7076">
        <w:rPr>
          <w:rFonts w:cs="Times New Roman"/>
        </w:rPr>
        <w:t>s</w:t>
      </w:r>
      <w:r w:rsidR="00BC656C" w:rsidRPr="0081050D">
        <w:rPr>
          <w:rFonts w:cs="Times New Roman"/>
        </w:rPr>
        <w:t xml:space="preserve"> </w:t>
      </w:r>
      <w:r w:rsidR="007A7076">
        <w:rPr>
          <w:rFonts w:cs="Times New Roman"/>
        </w:rPr>
        <w:t>of the SMHRFs</w:t>
      </w:r>
      <w:r w:rsidR="00BC656C" w:rsidRPr="0081050D">
        <w:rPr>
          <w:rFonts w:cs="Times New Roman"/>
        </w:rPr>
        <w:t xml:space="preserve">, </w:t>
      </w:r>
      <w:r>
        <w:rPr>
          <w:rFonts w:cs="Times New Roman"/>
        </w:rPr>
        <w:t xml:space="preserve">the </w:t>
      </w:r>
      <w:r w:rsidR="00BC656C" w:rsidRPr="0081050D">
        <w:rPr>
          <w:rFonts w:cs="Times New Roman"/>
        </w:rPr>
        <w:t>northside of Chicago consistently remains a primary preference</w:t>
      </w:r>
      <w:r>
        <w:rPr>
          <w:rFonts w:cs="Times New Roman"/>
        </w:rPr>
        <w:t xml:space="preserve"> area </w:t>
      </w:r>
      <w:r w:rsidR="00BC656C" w:rsidRPr="0081050D">
        <w:rPr>
          <w:rFonts w:cs="Times New Roman"/>
        </w:rPr>
        <w:t xml:space="preserve">for </w:t>
      </w:r>
      <w:r w:rsidR="007A7076">
        <w:rPr>
          <w:rFonts w:cs="Times New Roman"/>
        </w:rPr>
        <w:t xml:space="preserve">future </w:t>
      </w:r>
      <w:r w:rsidR="00BC656C" w:rsidRPr="0081050D">
        <w:rPr>
          <w:rFonts w:cs="Times New Roman"/>
        </w:rPr>
        <w:t xml:space="preserve">residency. </w:t>
      </w:r>
      <w:r>
        <w:rPr>
          <w:rFonts w:cs="Times New Roman"/>
        </w:rPr>
        <w:t xml:space="preserve"> </w:t>
      </w:r>
      <w:r w:rsidR="00BC656C" w:rsidRPr="0081050D">
        <w:rPr>
          <w:rFonts w:cs="Times New Roman"/>
        </w:rPr>
        <w:t xml:space="preserve">Requests </w:t>
      </w:r>
      <w:r>
        <w:rPr>
          <w:rFonts w:cs="Times New Roman"/>
        </w:rPr>
        <w:t xml:space="preserve">by Class Members </w:t>
      </w:r>
      <w:r w:rsidR="00BC656C" w:rsidRPr="0081050D">
        <w:rPr>
          <w:rFonts w:cs="Times New Roman"/>
        </w:rPr>
        <w:t>to transition to Chicago’s south and west side communities</w:t>
      </w:r>
      <w:r>
        <w:rPr>
          <w:rFonts w:cs="Times New Roman"/>
        </w:rPr>
        <w:t>, as well as suburban areas</w:t>
      </w:r>
      <w:r w:rsidR="00BC656C" w:rsidRPr="0081050D">
        <w:rPr>
          <w:rFonts w:cs="Times New Roman"/>
        </w:rPr>
        <w:t xml:space="preserve"> were minimal. </w:t>
      </w:r>
      <w:r>
        <w:rPr>
          <w:rFonts w:cs="Times New Roman"/>
        </w:rPr>
        <w:t xml:space="preserve"> </w:t>
      </w:r>
    </w:p>
    <w:p w:rsidR="0081050D" w:rsidRPr="00724F69" w:rsidRDefault="0081050D" w:rsidP="00BC656C">
      <w:pPr>
        <w:rPr>
          <w:rFonts w:cs="Times New Roman"/>
          <w:b/>
        </w:rPr>
      </w:pPr>
      <w:r w:rsidRPr="00724F69">
        <w:rPr>
          <w:rFonts w:cs="Times New Roman"/>
          <w:b/>
        </w:rPr>
        <w:t xml:space="preserve">     </w:t>
      </w:r>
      <w:r w:rsidRPr="00B3037C">
        <w:rPr>
          <w:rFonts w:cs="Times New Roman"/>
          <w:b/>
        </w:rPr>
        <w:t xml:space="preserve">Table </w:t>
      </w:r>
      <w:r w:rsidR="00724F69" w:rsidRPr="00B3037C">
        <w:rPr>
          <w:rFonts w:cs="Times New Roman"/>
          <w:b/>
        </w:rPr>
        <w:t>L</w:t>
      </w:r>
    </w:p>
    <w:tbl>
      <w:tblPr>
        <w:tblW w:w="10631" w:type="dxa"/>
        <w:tblInd w:w="345" w:type="dxa"/>
        <w:tblLook w:val="04A0" w:firstRow="1" w:lastRow="0" w:firstColumn="1" w:lastColumn="0" w:noHBand="0" w:noVBand="1"/>
      </w:tblPr>
      <w:tblGrid>
        <w:gridCol w:w="3637"/>
        <w:gridCol w:w="1011"/>
        <w:gridCol w:w="1160"/>
        <w:gridCol w:w="1489"/>
        <w:gridCol w:w="3334"/>
      </w:tblGrid>
      <w:tr w:rsidR="00BC656C" w:rsidRPr="00BC656C" w:rsidTr="0081050D">
        <w:trPr>
          <w:trHeight w:val="565"/>
          <w:tblHeader/>
        </w:trPr>
        <w:tc>
          <w:tcPr>
            <w:tcW w:w="3637" w:type="dxa"/>
            <w:tcBorders>
              <w:top w:val="single" w:sz="12" w:space="0" w:color="auto"/>
              <w:left w:val="single" w:sz="12" w:space="0" w:color="auto"/>
              <w:bottom w:val="single" w:sz="4" w:space="0" w:color="auto"/>
              <w:right w:val="single" w:sz="4" w:space="0" w:color="auto"/>
            </w:tcBorders>
            <w:shd w:val="clear" w:color="000000" w:fill="BFBFBF"/>
            <w:noWrap/>
            <w:vAlign w:val="bottom"/>
            <w:hideMark/>
          </w:tcPr>
          <w:p w:rsidR="00BC656C" w:rsidRPr="00BC656C" w:rsidRDefault="00BC656C" w:rsidP="00BC656C">
            <w:pPr>
              <w:spacing w:after="0" w:line="240" w:lineRule="auto"/>
              <w:jc w:val="center"/>
              <w:rPr>
                <w:rFonts w:eastAsia="Times New Roman" w:cs="Times New Roman"/>
                <w:color w:val="000000"/>
              </w:rPr>
            </w:pPr>
            <w:r w:rsidRPr="00BC656C">
              <w:rPr>
                <w:rFonts w:eastAsia="Times New Roman" w:cs="Times New Roman"/>
                <w:color w:val="000000"/>
              </w:rPr>
              <w:t>Working Agency</w:t>
            </w:r>
          </w:p>
          <w:p w:rsidR="00BC656C" w:rsidRPr="00BC656C" w:rsidRDefault="00BC656C" w:rsidP="00BC656C">
            <w:pPr>
              <w:spacing w:after="0" w:line="240" w:lineRule="auto"/>
              <w:jc w:val="center"/>
              <w:rPr>
                <w:rFonts w:eastAsia="Times New Roman" w:cs="Times New Roman"/>
                <w:color w:val="000000"/>
              </w:rPr>
            </w:pPr>
          </w:p>
        </w:tc>
        <w:tc>
          <w:tcPr>
            <w:tcW w:w="1011" w:type="dxa"/>
            <w:tcBorders>
              <w:top w:val="single" w:sz="12" w:space="0" w:color="auto"/>
              <w:left w:val="nil"/>
              <w:bottom w:val="single" w:sz="4" w:space="0" w:color="auto"/>
              <w:right w:val="single" w:sz="4" w:space="0" w:color="auto"/>
            </w:tcBorders>
            <w:shd w:val="clear" w:color="000000" w:fill="BFBFBF"/>
            <w:noWrap/>
            <w:vAlign w:val="bottom"/>
            <w:hideMark/>
          </w:tcPr>
          <w:p w:rsidR="00BC656C" w:rsidRPr="00BC656C" w:rsidRDefault="00BC656C" w:rsidP="00BC656C">
            <w:pPr>
              <w:spacing w:after="0" w:line="240" w:lineRule="auto"/>
              <w:jc w:val="center"/>
              <w:rPr>
                <w:rFonts w:eastAsia="Times New Roman" w:cs="Times New Roman"/>
                <w:color w:val="000000"/>
              </w:rPr>
            </w:pPr>
            <w:r w:rsidRPr="00BC656C">
              <w:rPr>
                <w:rFonts w:eastAsia="Times New Roman" w:cs="Times New Roman"/>
                <w:color w:val="000000"/>
              </w:rPr>
              <w:t>FY18</w:t>
            </w:r>
          </w:p>
          <w:p w:rsidR="00BC656C" w:rsidRPr="00BC656C" w:rsidRDefault="00BC656C" w:rsidP="00BC656C">
            <w:pPr>
              <w:spacing w:after="0" w:line="240" w:lineRule="auto"/>
              <w:jc w:val="center"/>
              <w:rPr>
                <w:rFonts w:eastAsia="Times New Roman" w:cs="Times New Roman"/>
                <w:color w:val="000000"/>
              </w:rPr>
            </w:pPr>
          </w:p>
        </w:tc>
        <w:tc>
          <w:tcPr>
            <w:tcW w:w="1160" w:type="dxa"/>
            <w:tcBorders>
              <w:top w:val="single" w:sz="12" w:space="0" w:color="auto"/>
              <w:left w:val="nil"/>
              <w:bottom w:val="single" w:sz="4" w:space="0" w:color="auto"/>
              <w:right w:val="single" w:sz="4" w:space="0" w:color="auto"/>
            </w:tcBorders>
            <w:shd w:val="clear" w:color="000000" w:fill="BFBFBF"/>
            <w:noWrap/>
            <w:vAlign w:val="bottom"/>
            <w:hideMark/>
          </w:tcPr>
          <w:p w:rsidR="00BC656C" w:rsidRPr="00BC656C" w:rsidRDefault="00BC656C" w:rsidP="00BC656C">
            <w:pPr>
              <w:spacing w:after="0" w:line="240" w:lineRule="auto"/>
              <w:jc w:val="center"/>
              <w:rPr>
                <w:rFonts w:eastAsia="Times New Roman" w:cs="Times New Roman"/>
                <w:color w:val="000000"/>
              </w:rPr>
            </w:pPr>
            <w:r w:rsidRPr="00BC656C">
              <w:rPr>
                <w:rFonts w:eastAsia="Times New Roman" w:cs="Times New Roman"/>
                <w:color w:val="000000"/>
              </w:rPr>
              <w:t>Agency Target</w:t>
            </w:r>
          </w:p>
        </w:tc>
        <w:tc>
          <w:tcPr>
            <w:tcW w:w="1489" w:type="dxa"/>
            <w:tcBorders>
              <w:top w:val="single" w:sz="12" w:space="0" w:color="auto"/>
              <w:left w:val="nil"/>
              <w:bottom w:val="single" w:sz="4" w:space="0" w:color="auto"/>
              <w:right w:val="nil"/>
            </w:tcBorders>
            <w:shd w:val="clear" w:color="000000" w:fill="BFBFBF"/>
            <w:vAlign w:val="bottom"/>
            <w:hideMark/>
          </w:tcPr>
          <w:p w:rsidR="00BC656C" w:rsidRPr="00BC656C" w:rsidRDefault="00BC656C" w:rsidP="00BC656C">
            <w:pPr>
              <w:spacing w:after="0" w:line="240" w:lineRule="auto"/>
              <w:jc w:val="center"/>
              <w:rPr>
                <w:rFonts w:eastAsia="Times New Roman" w:cs="Times New Roman"/>
                <w:color w:val="000000"/>
              </w:rPr>
            </w:pPr>
            <w:r w:rsidRPr="00BC656C">
              <w:rPr>
                <w:rFonts w:eastAsia="Times New Roman" w:cs="Times New Roman"/>
                <w:color w:val="000000"/>
              </w:rPr>
              <w:t xml:space="preserve">% of Target needed </w:t>
            </w:r>
          </w:p>
        </w:tc>
        <w:tc>
          <w:tcPr>
            <w:tcW w:w="3334"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C656C" w:rsidRPr="00BC656C" w:rsidRDefault="00BC656C" w:rsidP="00BC656C">
            <w:pPr>
              <w:spacing w:after="0" w:line="240" w:lineRule="auto"/>
              <w:jc w:val="center"/>
              <w:rPr>
                <w:rFonts w:eastAsia="Times New Roman" w:cs="Times New Roman"/>
                <w:color w:val="000000"/>
              </w:rPr>
            </w:pPr>
            <w:r w:rsidRPr="00BC656C">
              <w:rPr>
                <w:rFonts w:eastAsia="Times New Roman" w:cs="Times New Roman"/>
                <w:color w:val="000000"/>
              </w:rPr>
              <w:t>% of referrals received</w:t>
            </w:r>
          </w:p>
        </w:tc>
      </w:tr>
      <w:tr w:rsidR="00BC656C" w:rsidRPr="00BC656C" w:rsidTr="0081050D">
        <w:trPr>
          <w:trHeight w:val="291"/>
        </w:trPr>
        <w:tc>
          <w:tcPr>
            <w:tcW w:w="3637" w:type="dxa"/>
            <w:tcBorders>
              <w:top w:val="nil"/>
              <w:left w:val="single" w:sz="12" w:space="0" w:color="auto"/>
              <w:bottom w:val="single" w:sz="12" w:space="0" w:color="auto"/>
              <w:right w:val="single" w:sz="4" w:space="0" w:color="auto"/>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011" w:type="dxa"/>
            <w:tcBorders>
              <w:top w:val="nil"/>
              <w:left w:val="nil"/>
              <w:bottom w:val="single" w:sz="12" w:space="0" w:color="auto"/>
              <w:right w:val="single" w:sz="4" w:space="0" w:color="auto"/>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Count</w:t>
            </w:r>
          </w:p>
        </w:tc>
        <w:tc>
          <w:tcPr>
            <w:tcW w:w="1160" w:type="dxa"/>
            <w:tcBorders>
              <w:top w:val="nil"/>
              <w:left w:val="nil"/>
              <w:bottom w:val="single" w:sz="12" w:space="0" w:color="auto"/>
              <w:right w:val="single" w:sz="4" w:space="0" w:color="auto"/>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12" w:space="0" w:color="auto"/>
              <w:right w:val="nil"/>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3334" w:type="dxa"/>
            <w:tcBorders>
              <w:top w:val="nil"/>
              <w:left w:val="single" w:sz="4" w:space="0" w:color="auto"/>
              <w:bottom w:val="single" w:sz="12" w:space="0" w:color="auto"/>
              <w:right w:val="single" w:sz="4" w:space="0" w:color="auto"/>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ALEXIAN CENTER FOR MENTAL HLTH</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2</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N/A</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0.2%</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ASSOCIATION FOR INDIVIDUAL DEV</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9</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N/A</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0.9%</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ASSOCIATION HOUSE OF CHICAGO</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60</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30</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7.50%</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5.9%</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D97E40" w:rsidRDefault="00BC656C" w:rsidP="00BC656C">
            <w:pPr>
              <w:spacing w:after="0" w:line="240" w:lineRule="auto"/>
              <w:rPr>
                <w:rFonts w:eastAsia="Times New Roman" w:cs="Times New Roman"/>
                <w:color w:val="000000"/>
              </w:rPr>
            </w:pPr>
            <w:r w:rsidRPr="00D97E40">
              <w:rPr>
                <w:rFonts w:eastAsia="Times New Roman" w:cs="Times New Roman"/>
                <w:color w:val="000000"/>
              </w:rPr>
              <w:t>COMM COUNSELING CTR OF CHICAGO</w:t>
            </w:r>
          </w:p>
        </w:tc>
        <w:tc>
          <w:tcPr>
            <w:tcW w:w="1011" w:type="dxa"/>
            <w:tcBorders>
              <w:top w:val="nil"/>
              <w:left w:val="nil"/>
              <w:bottom w:val="single" w:sz="4" w:space="0" w:color="auto"/>
              <w:right w:val="single" w:sz="4" w:space="0" w:color="auto"/>
            </w:tcBorders>
            <w:shd w:val="clear" w:color="auto" w:fill="auto"/>
            <w:hideMark/>
          </w:tcPr>
          <w:p w:rsidR="00BC656C" w:rsidRPr="00D97E40" w:rsidRDefault="00BC656C" w:rsidP="00BC656C">
            <w:pPr>
              <w:spacing w:after="0" w:line="240" w:lineRule="auto"/>
              <w:rPr>
                <w:rFonts w:eastAsia="Times New Roman" w:cs="Times New Roman"/>
                <w:color w:val="000000"/>
              </w:rPr>
            </w:pPr>
            <w:r w:rsidRPr="00D97E40">
              <w:rPr>
                <w:rFonts w:eastAsia="Times New Roman" w:cs="Times New Roman"/>
                <w:color w:val="000000"/>
              </w:rPr>
              <w:t>111</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40</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10.00%</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10.8%</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CORNERSTONE SERVICES</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19</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N/A</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1.9%</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ECKER CENTER</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3</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N/A</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0.3%</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GRAND PRAIRIE SERVICES</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50</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35</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8.75%</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4.9%</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HEARTLAND HEALTH OUTREACH INC</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HERITAGE BEHAVIORAL HEALTH CTR</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27</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15</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3.75%</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2.6%</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HUMAN RESOURCES DEV INST INC</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60</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30</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7.50%</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5.9%</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HUMAN SERVICE CENTER</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47</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20</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5.00%</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4.6%</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KENNETH YOUNG CENTER</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LAKE COUNTY HEALTH DEPT MH</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25</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N/A</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2.4%</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PRESENCE HEALTH</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6</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N/A</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0.6%</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THE THRESHOLDS</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416</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160</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40.00%</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40.6%</w:t>
            </w:r>
          </w:p>
        </w:tc>
      </w:tr>
      <w:tr w:rsidR="00BC656C" w:rsidRPr="00BC656C" w:rsidTr="0081050D">
        <w:trPr>
          <w:trHeight w:val="350"/>
        </w:trPr>
        <w:tc>
          <w:tcPr>
            <w:tcW w:w="3637" w:type="dxa"/>
            <w:tcBorders>
              <w:top w:val="nil"/>
              <w:left w:val="single" w:sz="12" w:space="0" w:color="auto"/>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TRILOGY INC</w:t>
            </w:r>
          </w:p>
        </w:tc>
        <w:tc>
          <w:tcPr>
            <w:tcW w:w="1011" w:type="dxa"/>
            <w:tcBorders>
              <w:top w:val="nil"/>
              <w:left w:val="nil"/>
              <w:bottom w:val="single" w:sz="4" w:space="0" w:color="auto"/>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187</w:t>
            </w:r>
          </w:p>
        </w:tc>
        <w:tc>
          <w:tcPr>
            <w:tcW w:w="1160" w:type="dxa"/>
            <w:tcBorders>
              <w:top w:val="nil"/>
              <w:left w:val="nil"/>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70</w:t>
            </w:r>
          </w:p>
        </w:tc>
        <w:tc>
          <w:tcPr>
            <w:tcW w:w="1489" w:type="dxa"/>
            <w:tcBorders>
              <w:top w:val="nil"/>
              <w:left w:val="nil"/>
              <w:bottom w:val="single" w:sz="4" w:space="0" w:color="auto"/>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17.50%</w:t>
            </w:r>
          </w:p>
        </w:tc>
        <w:tc>
          <w:tcPr>
            <w:tcW w:w="3334" w:type="dxa"/>
            <w:tcBorders>
              <w:top w:val="nil"/>
              <w:left w:val="single" w:sz="4" w:space="0" w:color="auto"/>
              <w:bottom w:val="single" w:sz="4" w:space="0" w:color="auto"/>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18.3%</w:t>
            </w:r>
          </w:p>
        </w:tc>
      </w:tr>
      <w:tr w:rsidR="00BC656C" w:rsidRPr="00BC656C" w:rsidTr="0081050D">
        <w:trPr>
          <w:trHeight w:val="350"/>
        </w:trPr>
        <w:tc>
          <w:tcPr>
            <w:tcW w:w="3637" w:type="dxa"/>
            <w:tcBorders>
              <w:top w:val="nil"/>
              <w:left w:val="single" w:sz="12" w:space="0" w:color="auto"/>
              <w:bottom w:val="nil"/>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TRINITY SERVICES, INC.</w:t>
            </w:r>
          </w:p>
        </w:tc>
        <w:tc>
          <w:tcPr>
            <w:tcW w:w="1011" w:type="dxa"/>
            <w:tcBorders>
              <w:top w:val="nil"/>
              <w:left w:val="nil"/>
              <w:bottom w:val="nil"/>
              <w:right w:val="single" w:sz="4" w:space="0" w:color="auto"/>
            </w:tcBorders>
            <w:shd w:val="clear" w:color="auto" w:fill="auto"/>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2</w:t>
            </w:r>
          </w:p>
        </w:tc>
        <w:tc>
          <w:tcPr>
            <w:tcW w:w="1160" w:type="dxa"/>
            <w:tcBorders>
              <w:top w:val="nil"/>
              <w:left w:val="nil"/>
              <w:bottom w:val="nil"/>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 </w:t>
            </w:r>
          </w:p>
        </w:tc>
        <w:tc>
          <w:tcPr>
            <w:tcW w:w="1489" w:type="dxa"/>
            <w:tcBorders>
              <w:top w:val="nil"/>
              <w:left w:val="nil"/>
              <w:bottom w:val="nil"/>
              <w:right w:val="nil"/>
            </w:tcBorders>
            <w:shd w:val="clear" w:color="000000" w:fill="FFFFFF"/>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N/A</w:t>
            </w:r>
          </w:p>
        </w:tc>
        <w:tc>
          <w:tcPr>
            <w:tcW w:w="3334" w:type="dxa"/>
            <w:tcBorders>
              <w:top w:val="nil"/>
              <w:left w:val="single" w:sz="4" w:space="0" w:color="auto"/>
              <w:bottom w:val="nil"/>
              <w:right w:val="single" w:sz="4" w:space="0" w:color="auto"/>
            </w:tcBorders>
            <w:shd w:val="clear" w:color="auto" w:fill="auto"/>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0.2%</w:t>
            </w:r>
          </w:p>
        </w:tc>
      </w:tr>
      <w:tr w:rsidR="00BC656C" w:rsidRPr="00BC656C" w:rsidTr="0081050D">
        <w:trPr>
          <w:trHeight w:val="47"/>
        </w:trPr>
        <w:tc>
          <w:tcPr>
            <w:tcW w:w="3637" w:type="dxa"/>
            <w:tcBorders>
              <w:top w:val="single" w:sz="12" w:space="0" w:color="auto"/>
              <w:left w:val="single" w:sz="12" w:space="0" w:color="auto"/>
              <w:bottom w:val="single" w:sz="12" w:space="0" w:color="auto"/>
              <w:right w:val="single" w:sz="4" w:space="0" w:color="auto"/>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Total</w:t>
            </w:r>
          </w:p>
        </w:tc>
        <w:tc>
          <w:tcPr>
            <w:tcW w:w="1011" w:type="dxa"/>
            <w:tcBorders>
              <w:top w:val="single" w:sz="12" w:space="0" w:color="auto"/>
              <w:left w:val="nil"/>
              <w:bottom w:val="single" w:sz="12" w:space="0" w:color="auto"/>
              <w:right w:val="single" w:sz="4" w:space="0" w:color="auto"/>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1024</w:t>
            </w:r>
          </w:p>
        </w:tc>
        <w:tc>
          <w:tcPr>
            <w:tcW w:w="1160" w:type="dxa"/>
            <w:tcBorders>
              <w:top w:val="single" w:sz="12" w:space="0" w:color="auto"/>
              <w:left w:val="nil"/>
              <w:bottom w:val="single" w:sz="12" w:space="0" w:color="auto"/>
              <w:right w:val="single" w:sz="4" w:space="0" w:color="auto"/>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400</w:t>
            </w:r>
          </w:p>
        </w:tc>
        <w:tc>
          <w:tcPr>
            <w:tcW w:w="1489" w:type="dxa"/>
            <w:tcBorders>
              <w:top w:val="single" w:sz="12" w:space="0" w:color="auto"/>
              <w:left w:val="nil"/>
              <w:bottom w:val="single" w:sz="12" w:space="0" w:color="auto"/>
              <w:right w:val="nil"/>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100.00%</w:t>
            </w:r>
          </w:p>
        </w:tc>
        <w:tc>
          <w:tcPr>
            <w:tcW w:w="3334" w:type="dxa"/>
            <w:tcBorders>
              <w:top w:val="single" w:sz="12" w:space="0" w:color="auto"/>
              <w:left w:val="single" w:sz="4" w:space="0" w:color="auto"/>
              <w:bottom w:val="single" w:sz="12" w:space="0" w:color="auto"/>
              <w:right w:val="single" w:sz="4" w:space="0" w:color="auto"/>
            </w:tcBorders>
            <w:shd w:val="clear" w:color="000000" w:fill="F2F2F2"/>
            <w:noWrap/>
            <w:hideMark/>
          </w:tcPr>
          <w:p w:rsidR="00BC656C" w:rsidRPr="00BC656C" w:rsidRDefault="00BC656C" w:rsidP="00BC656C">
            <w:pPr>
              <w:spacing w:after="0" w:line="240" w:lineRule="auto"/>
              <w:rPr>
                <w:rFonts w:eastAsia="Times New Roman" w:cs="Times New Roman"/>
                <w:color w:val="000000"/>
              </w:rPr>
            </w:pPr>
            <w:r w:rsidRPr="00BC656C">
              <w:rPr>
                <w:rFonts w:eastAsia="Times New Roman" w:cs="Times New Roman"/>
                <w:color w:val="000000"/>
              </w:rPr>
              <w:t>100.1%</w:t>
            </w:r>
          </w:p>
        </w:tc>
      </w:tr>
    </w:tbl>
    <w:p w:rsidR="00BC656C" w:rsidRDefault="00BC656C" w:rsidP="0073231F">
      <w:pPr>
        <w:rPr>
          <w:rFonts w:ascii="Georgia" w:hAnsi="Georgia" w:cs="Times New Roman"/>
        </w:rPr>
      </w:pPr>
    </w:p>
    <w:p w:rsidR="00BC656C" w:rsidRPr="00494C0F" w:rsidRDefault="00494C0F" w:rsidP="0073231F">
      <w:pPr>
        <w:rPr>
          <w:rFonts w:cs="Times New Roman"/>
        </w:rPr>
      </w:pPr>
      <w:r w:rsidRPr="00494C0F">
        <w:rPr>
          <w:rFonts w:cs="Times New Roman"/>
        </w:rPr>
        <w:t xml:space="preserve">The above </w:t>
      </w:r>
      <w:r w:rsidR="006B7504">
        <w:rPr>
          <w:rFonts w:cs="Times New Roman"/>
        </w:rPr>
        <w:t>T</w:t>
      </w:r>
      <w:r w:rsidRPr="00494C0F">
        <w:rPr>
          <w:rFonts w:cs="Times New Roman"/>
        </w:rPr>
        <w:t xml:space="preserve">able highlights each agency’s projected transition target, plus the percentage of referrals </w:t>
      </w:r>
      <w:r w:rsidR="00423332">
        <w:rPr>
          <w:rFonts w:cs="Times New Roman"/>
        </w:rPr>
        <w:t>necessary</w:t>
      </w:r>
      <w:r w:rsidRPr="00494C0F">
        <w:rPr>
          <w:rFonts w:cs="Times New Roman"/>
        </w:rPr>
        <w:t xml:space="preserve"> to assist in meeting this goal. Community Counseling Centers of Chicago (C4), Thresholds and Trilogy were charged with transitioning the greatest </w:t>
      </w:r>
      <w:r w:rsidR="00423332">
        <w:rPr>
          <w:rFonts w:cs="Times New Roman"/>
        </w:rPr>
        <w:t>volume</w:t>
      </w:r>
      <w:r w:rsidRPr="00494C0F">
        <w:rPr>
          <w:rFonts w:cs="Times New Roman"/>
        </w:rPr>
        <w:t xml:space="preserve"> of Class Members</w:t>
      </w:r>
      <w:r>
        <w:rPr>
          <w:rFonts w:cs="Times New Roman"/>
        </w:rPr>
        <w:t>, based on their size and historical service expansion</w:t>
      </w:r>
      <w:r w:rsidR="00B3037C">
        <w:rPr>
          <w:rFonts w:cs="Times New Roman"/>
        </w:rPr>
        <w:t xml:space="preserve"> (Table </w:t>
      </w:r>
      <w:proofErr w:type="gramStart"/>
      <w:r w:rsidR="00B3037C">
        <w:rPr>
          <w:rFonts w:cs="Times New Roman"/>
        </w:rPr>
        <w:t>L(</w:t>
      </w:r>
      <w:proofErr w:type="gramEnd"/>
      <w:r w:rsidR="00B3037C">
        <w:rPr>
          <w:rFonts w:cs="Times New Roman"/>
        </w:rPr>
        <w:t>1))</w:t>
      </w:r>
      <w:r>
        <w:rPr>
          <w:rFonts w:cs="Times New Roman"/>
        </w:rPr>
        <w:t xml:space="preserve">. </w:t>
      </w:r>
      <w:r w:rsidRPr="00494C0F">
        <w:rPr>
          <w:rFonts w:cs="Times New Roman"/>
        </w:rPr>
        <w:t>Each of these three agencies did receive the required number</w:t>
      </w:r>
      <w:r>
        <w:rPr>
          <w:rFonts w:cs="Times New Roman"/>
        </w:rPr>
        <w:t xml:space="preserve"> of assignments</w:t>
      </w:r>
      <w:r w:rsidRPr="00494C0F">
        <w:rPr>
          <w:rFonts w:cs="Times New Roman"/>
        </w:rPr>
        <w:t xml:space="preserve"> needed to meet their transition goals</w:t>
      </w:r>
      <w:r w:rsidR="00423332">
        <w:rPr>
          <w:rFonts w:cs="Times New Roman"/>
        </w:rPr>
        <w:t xml:space="preserve">.  </w:t>
      </w:r>
      <w:r w:rsidRPr="00494C0F">
        <w:rPr>
          <w:rFonts w:cs="Times New Roman"/>
        </w:rPr>
        <w:t xml:space="preserve"> Two of the three agencies, C4 and Trilogy met their </w:t>
      </w:r>
      <w:r w:rsidR="00423332">
        <w:rPr>
          <w:rFonts w:cs="Times New Roman"/>
        </w:rPr>
        <w:t xml:space="preserve">FY18 </w:t>
      </w:r>
      <w:r w:rsidRPr="00494C0F">
        <w:rPr>
          <w:rFonts w:cs="Times New Roman"/>
        </w:rPr>
        <w:t xml:space="preserve">transition target. As mentioned earlier, these </w:t>
      </w:r>
      <w:r w:rsidR="007B38B2">
        <w:rPr>
          <w:rFonts w:cs="Times New Roman"/>
        </w:rPr>
        <w:t xml:space="preserve">three </w:t>
      </w:r>
      <w:r w:rsidRPr="00494C0F">
        <w:rPr>
          <w:rFonts w:cs="Times New Roman"/>
        </w:rPr>
        <w:t>agencies provide clinical services in communities on the north</w:t>
      </w:r>
      <w:r w:rsidR="007B38B2">
        <w:rPr>
          <w:rFonts w:cs="Times New Roman"/>
        </w:rPr>
        <w:t xml:space="preserve"> </w:t>
      </w:r>
      <w:r w:rsidRPr="00494C0F">
        <w:rPr>
          <w:rFonts w:cs="Times New Roman"/>
        </w:rPr>
        <w:t xml:space="preserve">side of Chicago, which </w:t>
      </w:r>
      <w:r w:rsidR="006743C2">
        <w:rPr>
          <w:rFonts w:cs="Times New Roman"/>
        </w:rPr>
        <w:t xml:space="preserve">is </w:t>
      </w:r>
      <w:r w:rsidR="007B38B2">
        <w:rPr>
          <w:rFonts w:cs="Times New Roman"/>
        </w:rPr>
        <w:t>the</w:t>
      </w:r>
      <w:r w:rsidRPr="00494C0F">
        <w:rPr>
          <w:rFonts w:cs="Times New Roman"/>
        </w:rPr>
        <w:t xml:space="preserve"> geographical preference</w:t>
      </w:r>
      <w:r w:rsidR="00423332">
        <w:rPr>
          <w:rFonts w:cs="Times New Roman"/>
        </w:rPr>
        <w:t xml:space="preserve"> area</w:t>
      </w:r>
      <w:r w:rsidR="00D55B61">
        <w:rPr>
          <w:rFonts w:cs="Times New Roman"/>
        </w:rPr>
        <w:t xml:space="preserve"> </w:t>
      </w:r>
      <w:r w:rsidRPr="00494C0F">
        <w:rPr>
          <w:rFonts w:cs="Times New Roman"/>
        </w:rPr>
        <w:t xml:space="preserve">for </w:t>
      </w:r>
      <w:r w:rsidR="006B7504">
        <w:rPr>
          <w:rFonts w:cs="Times New Roman"/>
        </w:rPr>
        <w:t>more than 40%</w:t>
      </w:r>
      <w:r w:rsidR="007B38B2">
        <w:rPr>
          <w:rFonts w:cs="Times New Roman"/>
        </w:rPr>
        <w:t xml:space="preserve"> of transitioning </w:t>
      </w:r>
      <w:r w:rsidRPr="00494C0F">
        <w:rPr>
          <w:rFonts w:cs="Times New Roman"/>
        </w:rPr>
        <w:t>Class Members</w:t>
      </w:r>
      <w:r w:rsidR="007B38B2">
        <w:rPr>
          <w:rFonts w:cs="Times New Roman"/>
        </w:rPr>
        <w:t>.</w:t>
      </w:r>
      <w:r w:rsidRPr="00494C0F">
        <w:rPr>
          <w:rFonts w:cs="Times New Roman"/>
        </w:rPr>
        <w:t xml:space="preserve">  </w:t>
      </w:r>
    </w:p>
    <w:p w:rsidR="00494C0F" w:rsidRPr="00D55B61" w:rsidRDefault="007B38B2" w:rsidP="0073231F">
      <w:pPr>
        <w:rPr>
          <w:rFonts w:cs="Times New Roman"/>
          <w:b/>
        </w:rPr>
      </w:pPr>
      <w:r w:rsidRPr="006B7504">
        <w:rPr>
          <w:rFonts w:cs="Times New Roman"/>
          <w:b/>
        </w:rPr>
        <w:t xml:space="preserve">Table </w:t>
      </w:r>
      <w:proofErr w:type="gramStart"/>
      <w:r w:rsidR="00D55B61" w:rsidRPr="006B7504">
        <w:rPr>
          <w:rFonts w:cs="Times New Roman"/>
          <w:b/>
        </w:rPr>
        <w:t>L(</w:t>
      </w:r>
      <w:proofErr w:type="gramEnd"/>
      <w:r w:rsidR="00D55B61" w:rsidRPr="006B7504">
        <w:rPr>
          <w:rFonts w:cs="Times New Roman"/>
          <w:b/>
        </w:rPr>
        <w:t>1)</w:t>
      </w:r>
    </w:p>
    <w:tbl>
      <w:tblPr>
        <w:tblW w:w="80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500"/>
        <w:gridCol w:w="1640"/>
        <w:gridCol w:w="1530"/>
        <w:gridCol w:w="1440"/>
      </w:tblGrid>
      <w:tr w:rsidR="00494C0F" w:rsidRPr="00494C0F" w:rsidTr="00423332">
        <w:trPr>
          <w:trHeight w:val="580"/>
        </w:trPr>
        <w:tc>
          <w:tcPr>
            <w:tcW w:w="1900" w:type="dxa"/>
            <w:shd w:val="clear" w:color="000000" w:fill="BFBFBF"/>
            <w:noWrap/>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Working Agency</w:t>
            </w:r>
          </w:p>
        </w:tc>
        <w:tc>
          <w:tcPr>
            <w:tcW w:w="1500" w:type="dxa"/>
            <w:shd w:val="clear" w:color="000000" w:fill="BFBFBF"/>
            <w:noWrap/>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Agency Target</w:t>
            </w:r>
          </w:p>
        </w:tc>
        <w:tc>
          <w:tcPr>
            <w:tcW w:w="1640" w:type="dxa"/>
            <w:shd w:val="clear" w:color="000000" w:fill="BFBFBF"/>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 xml:space="preserve">% of Target needed </w:t>
            </w:r>
          </w:p>
        </w:tc>
        <w:tc>
          <w:tcPr>
            <w:tcW w:w="1530" w:type="dxa"/>
            <w:shd w:val="clear" w:color="000000" w:fill="BFBFBF"/>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 of referrals received</w:t>
            </w:r>
          </w:p>
        </w:tc>
        <w:tc>
          <w:tcPr>
            <w:tcW w:w="1440" w:type="dxa"/>
            <w:shd w:val="clear" w:color="000000" w:fill="BFBFBF"/>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Target achieved</w:t>
            </w:r>
          </w:p>
        </w:tc>
      </w:tr>
      <w:tr w:rsidR="00494C0F" w:rsidRPr="00494C0F" w:rsidTr="00423332">
        <w:trPr>
          <w:trHeight w:val="580"/>
        </w:trPr>
        <w:tc>
          <w:tcPr>
            <w:tcW w:w="1900" w:type="dxa"/>
            <w:shd w:val="clear" w:color="auto" w:fill="auto"/>
            <w:noWrap/>
            <w:vAlign w:val="bottom"/>
            <w:hideMark/>
          </w:tcPr>
          <w:p w:rsidR="00494C0F" w:rsidRPr="007B38B2" w:rsidRDefault="00494C0F" w:rsidP="007B38B2">
            <w:pPr>
              <w:spacing w:after="0" w:line="240" w:lineRule="auto"/>
              <w:rPr>
                <w:rFonts w:eastAsia="Times New Roman" w:cs="Times New Roman"/>
                <w:color w:val="000000"/>
              </w:rPr>
            </w:pPr>
            <w:r w:rsidRPr="007B38B2">
              <w:rPr>
                <w:rFonts w:eastAsia="Times New Roman" w:cs="Times New Roman"/>
                <w:color w:val="000000"/>
              </w:rPr>
              <w:t>COMM COUNSELING CTR OF CHICAGO</w:t>
            </w:r>
          </w:p>
        </w:tc>
        <w:tc>
          <w:tcPr>
            <w:tcW w:w="1500" w:type="dxa"/>
            <w:shd w:val="clear" w:color="auto" w:fill="auto"/>
            <w:noWrap/>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40</w:t>
            </w:r>
          </w:p>
        </w:tc>
        <w:tc>
          <w:tcPr>
            <w:tcW w:w="1640" w:type="dxa"/>
            <w:shd w:val="clear" w:color="auto" w:fill="auto"/>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10.00%</w:t>
            </w:r>
          </w:p>
        </w:tc>
        <w:tc>
          <w:tcPr>
            <w:tcW w:w="1530" w:type="dxa"/>
            <w:shd w:val="clear" w:color="auto" w:fill="auto"/>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10.8%</w:t>
            </w:r>
          </w:p>
        </w:tc>
        <w:tc>
          <w:tcPr>
            <w:tcW w:w="1440" w:type="dxa"/>
          </w:tcPr>
          <w:p w:rsidR="00494C0F" w:rsidRPr="007B38B2" w:rsidRDefault="00494C0F" w:rsidP="00494C0F">
            <w:pPr>
              <w:spacing w:after="0" w:line="240" w:lineRule="auto"/>
              <w:jc w:val="center"/>
              <w:rPr>
                <w:rFonts w:eastAsia="Times New Roman" w:cs="Times New Roman"/>
                <w:color w:val="000000"/>
              </w:rPr>
            </w:pPr>
          </w:p>
          <w:p w:rsidR="00494C0F" w:rsidRPr="007B38B2" w:rsidRDefault="00494C0F" w:rsidP="00494C0F">
            <w:pPr>
              <w:spacing w:after="0" w:line="240" w:lineRule="auto"/>
              <w:jc w:val="center"/>
              <w:rPr>
                <w:rFonts w:eastAsia="Times New Roman" w:cs="Times New Roman"/>
                <w:color w:val="000000"/>
              </w:rPr>
            </w:pPr>
          </w:p>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41</w:t>
            </w:r>
          </w:p>
        </w:tc>
      </w:tr>
      <w:tr w:rsidR="00494C0F" w:rsidRPr="00494C0F" w:rsidTr="00423332">
        <w:trPr>
          <w:trHeight w:val="580"/>
        </w:trPr>
        <w:tc>
          <w:tcPr>
            <w:tcW w:w="1900" w:type="dxa"/>
            <w:shd w:val="clear" w:color="auto" w:fill="auto"/>
            <w:noWrap/>
            <w:vAlign w:val="bottom"/>
            <w:hideMark/>
          </w:tcPr>
          <w:p w:rsidR="00494C0F" w:rsidRPr="00D97E40" w:rsidRDefault="00494C0F" w:rsidP="007B38B2">
            <w:pPr>
              <w:spacing w:after="0" w:line="240" w:lineRule="auto"/>
              <w:rPr>
                <w:rFonts w:eastAsia="Times New Roman" w:cs="Times New Roman"/>
                <w:color w:val="000000"/>
              </w:rPr>
            </w:pPr>
            <w:r w:rsidRPr="00D97E40">
              <w:rPr>
                <w:rFonts w:eastAsia="Times New Roman" w:cs="Times New Roman"/>
                <w:color w:val="000000"/>
              </w:rPr>
              <w:t>THE THRESHOLDS</w:t>
            </w:r>
          </w:p>
        </w:tc>
        <w:tc>
          <w:tcPr>
            <w:tcW w:w="1500" w:type="dxa"/>
            <w:shd w:val="clear" w:color="auto" w:fill="auto"/>
            <w:noWrap/>
            <w:vAlign w:val="bottom"/>
            <w:hideMark/>
          </w:tcPr>
          <w:p w:rsidR="00494C0F" w:rsidRPr="00D97E40" w:rsidRDefault="00494C0F" w:rsidP="00494C0F">
            <w:pPr>
              <w:spacing w:after="0" w:line="240" w:lineRule="auto"/>
              <w:jc w:val="center"/>
              <w:rPr>
                <w:rFonts w:eastAsia="Times New Roman" w:cs="Times New Roman"/>
                <w:color w:val="000000"/>
              </w:rPr>
            </w:pPr>
            <w:r w:rsidRPr="00D97E40">
              <w:rPr>
                <w:rFonts w:eastAsia="Times New Roman" w:cs="Times New Roman"/>
                <w:color w:val="000000"/>
              </w:rPr>
              <w:t>160</w:t>
            </w:r>
          </w:p>
        </w:tc>
        <w:tc>
          <w:tcPr>
            <w:tcW w:w="1640" w:type="dxa"/>
            <w:shd w:val="clear" w:color="auto" w:fill="auto"/>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40.00%</w:t>
            </w:r>
          </w:p>
        </w:tc>
        <w:tc>
          <w:tcPr>
            <w:tcW w:w="1530" w:type="dxa"/>
            <w:shd w:val="clear" w:color="auto" w:fill="auto"/>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40.6%</w:t>
            </w:r>
          </w:p>
        </w:tc>
        <w:tc>
          <w:tcPr>
            <w:tcW w:w="1440" w:type="dxa"/>
          </w:tcPr>
          <w:p w:rsidR="00494C0F" w:rsidRPr="007B38B2" w:rsidRDefault="00494C0F" w:rsidP="00494C0F">
            <w:pPr>
              <w:spacing w:after="0" w:line="240" w:lineRule="auto"/>
              <w:jc w:val="center"/>
              <w:rPr>
                <w:rFonts w:eastAsia="Times New Roman" w:cs="Times New Roman"/>
                <w:color w:val="000000"/>
              </w:rPr>
            </w:pPr>
          </w:p>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83</w:t>
            </w:r>
          </w:p>
        </w:tc>
      </w:tr>
      <w:tr w:rsidR="00494C0F" w:rsidRPr="00494C0F" w:rsidTr="00423332">
        <w:trPr>
          <w:trHeight w:val="580"/>
        </w:trPr>
        <w:tc>
          <w:tcPr>
            <w:tcW w:w="1900" w:type="dxa"/>
            <w:shd w:val="clear" w:color="auto" w:fill="auto"/>
            <w:noWrap/>
            <w:vAlign w:val="bottom"/>
            <w:hideMark/>
          </w:tcPr>
          <w:p w:rsidR="00494C0F" w:rsidRPr="007B38B2" w:rsidRDefault="00494C0F" w:rsidP="007B38B2">
            <w:pPr>
              <w:spacing w:after="0" w:line="240" w:lineRule="auto"/>
              <w:rPr>
                <w:rFonts w:eastAsia="Times New Roman" w:cs="Times New Roman"/>
                <w:color w:val="000000"/>
              </w:rPr>
            </w:pPr>
            <w:r w:rsidRPr="007B38B2">
              <w:rPr>
                <w:rFonts w:eastAsia="Times New Roman" w:cs="Times New Roman"/>
                <w:color w:val="000000"/>
              </w:rPr>
              <w:t>TRILOGY INC</w:t>
            </w:r>
          </w:p>
        </w:tc>
        <w:tc>
          <w:tcPr>
            <w:tcW w:w="1500" w:type="dxa"/>
            <w:shd w:val="clear" w:color="auto" w:fill="auto"/>
            <w:noWrap/>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70</w:t>
            </w:r>
          </w:p>
        </w:tc>
        <w:tc>
          <w:tcPr>
            <w:tcW w:w="1640" w:type="dxa"/>
            <w:shd w:val="clear" w:color="auto" w:fill="auto"/>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17.50%</w:t>
            </w:r>
          </w:p>
        </w:tc>
        <w:tc>
          <w:tcPr>
            <w:tcW w:w="1530" w:type="dxa"/>
            <w:shd w:val="clear" w:color="auto" w:fill="auto"/>
            <w:vAlign w:val="bottom"/>
            <w:hideMark/>
          </w:tcPr>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18.3%</w:t>
            </w:r>
          </w:p>
        </w:tc>
        <w:tc>
          <w:tcPr>
            <w:tcW w:w="1440" w:type="dxa"/>
          </w:tcPr>
          <w:p w:rsidR="00494C0F" w:rsidRPr="007B38B2" w:rsidRDefault="00494C0F" w:rsidP="00494C0F">
            <w:pPr>
              <w:spacing w:after="0" w:line="240" w:lineRule="auto"/>
              <w:jc w:val="center"/>
              <w:rPr>
                <w:rFonts w:eastAsia="Times New Roman" w:cs="Times New Roman"/>
                <w:color w:val="000000"/>
              </w:rPr>
            </w:pPr>
          </w:p>
          <w:p w:rsidR="00494C0F" w:rsidRPr="007B38B2" w:rsidRDefault="00494C0F" w:rsidP="00494C0F">
            <w:pPr>
              <w:spacing w:after="0" w:line="240" w:lineRule="auto"/>
              <w:jc w:val="center"/>
              <w:rPr>
                <w:rFonts w:eastAsia="Times New Roman" w:cs="Times New Roman"/>
                <w:color w:val="000000"/>
              </w:rPr>
            </w:pPr>
            <w:r w:rsidRPr="007B38B2">
              <w:rPr>
                <w:rFonts w:eastAsia="Times New Roman" w:cs="Times New Roman"/>
                <w:color w:val="000000"/>
              </w:rPr>
              <w:t>70</w:t>
            </w:r>
          </w:p>
        </w:tc>
      </w:tr>
    </w:tbl>
    <w:p w:rsidR="00494C0F" w:rsidRPr="007B38B2" w:rsidRDefault="00494C0F" w:rsidP="0073231F">
      <w:pPr>
        <w:rPr>
          <w:rFonts w:ascii="Georgia" w:hAnsi="Georgia" w:cs="Times New Roman"/>
          <w:sz w:val="20"/>
          <w:szCs w:val="20"/>
        </w:rPr>
      </w:pPr>
    </w:p>
    <w:p w:rsidR="007B38B2" w:rsidRPr="007B38B2" w:rsidRDefault="007B38B2" w:rsidP="007B38B2">
      <w:pPr>
        <w:rPr>
          <w:rFonts w:cs="Times New Roman"/>
        </w:rPr>
      </w:pPr>
      <w:r w:rsidRPr="007B38B2">
        <w:rPr>
          <w:rFonts w:cs="Times New Roman"/>
        </w:rPr>
        <w:t>Five Williams full service agencies</w:t>
      </w:r>
      <w:r w:rsidR="00423332">
        <w:rPr>
          <w:rFonts w:cs="Times New Roman"/>
        </w:rPr>
        <w:t xml:space="preserve"> have</w:t>
      </w:r>
      <w:r w:rsidRPr="007B38B2">
        <w:rPr>
          <w:rFonts w:cs="Times New Roman"/>
        </w:rPr>
        <w:t xml:space="preserve"> </w:t>
      </w:r>
      <w:r>
        <w:rPr>
          <w:rFonts w:cs="Times New Roman"/>
        </w:rPr>
        <w:t xml:space="preserve">historically </w:t>
      </w:r>
      <w:r w:rsidRPr="007B38B2">
        <w:rPr>
          <w:rFonts w:cs="Times New Roman"/>
        </w:rPr>
        <w:t>experience</w:t>
      </w:r>
      <w:r w:rsidR="00FC5A2F">
        <w:rPr>
          <w:rFonts w:cs="Times New Roman"/>
        </w:rPr>
        <w:t>d</w:t>
      </w:r>
      <w:r w:rsidRPr="007B38B2">
        <w:rPr>
          <w:rFonts w:cs="Times New Roman"/>
        </w:rPr>
        <w:t xml:space="preserve"> a disadvantage </w:t>
      </w:r>
      <w:r>
        <w:rPr>
          <w:rFonts w:cs="Times New Roman"/>
        </w:rPr>
        <w:t xml:space="preserve">in </w:t>
      </w:r>
      <w:r w:rsidR="00423332">
        <w:rPr>
          <w:rFonts w:cs="Times New Roman"/>
        </w:rPr>
        <w:t>referral</w:t>
      </w:r>
      <w:r>
        <w:rPr>
          <w:rFonts w:cs="Times New Roman"/>
        </w:rPr>
        <w:t xml:space="preserve"> assignments </w:t>
      </w:r>
      <w:r w:rsidR="00B3037C">
        <w:rPr>
          <w:rFonts w:cs="Times New Roman"/>
        </w:rPr>
        <w:t xml:space="preserve">(Table </w:t>
      </w:r>
      <w:proofErr w:type="gramStart"/>
      <w:r w:rsidR="00B3037C">
        <w:rPr>
          <w:rFonts w:cs="Times New Roman"/>
        </w:rPr>
        <w:t>L(</w:t>
      </w:r>
      <w:proofErr w:type="gramEnd"/>
      <w:r w:rsidR="00B3037C">
        <w:rPr>
          <w:rFonts w:cs="Times New Roman"/>
        </w:rPr>
        <w:t xml:space="preserve">2)) </w:t>
      </w:r>
      <w:r>
        <w:rPr>
          <w:rFonts w:cs="Times New Roman"/>
        </w:rPr>
        <w:t xml:space="preserve">due to the limited </w:t>
      </w:r>
      <w:r w:rsidRPr="007B38B2">
        <w:rPr>
          <w:rFonts w:cs="Times New Roman"/>
        </w:rPr>
        <w:t xml:space="preserve">number of </w:t>
      </w:r>
      <w:r>
        <w:rPr>
          <w:rFonts w:cs="Times New Roman"/>
        </w:rPr>
        <w:t>Class Members who chose to</w:t>
      </w:r>
      <w:r w:rsidR="00842B47">
        <w:rPr>
          <w:rFonts w:cs="Times New Roman"/>
        </w:rPr>
        <w:t xml:space="preserve"> reside</w:t>
      </w:r>
      <w:r>
        <w:rPr>
          <w:rFonts w:cs="Times New Roman"/>
        </w:rPr>
        <w:t xml:space="preserve"> in </w:t>
      </w:r>
      <w:r w:rsidR="00842B47" w:rsidRPr="00842B47">
        <w:rPr>
          <w:rFonts w:cs="Times New Roman"/>
        </w:rPr>
        <w:t>reasonabl</w:t>
      </w:r>
      <w:r w:rsidR="006743C2">
        <w:rPr>
          <w:rFonts w:cs="Times New Roman"/>
        </w:rPr>
        <w:t>e</w:t>
      </w:r>
      <w:r w:rsidR="00842B47" w:rsidRPr="00842B47">
        <w:rPr>
          <w:rFonts w:cs="Times New Roman"/>
          <w:b/>
        </w:rPr>
        <w:t xml:space="preserve"> </w:t>
      </w:r>
      <w:r>
        <w:rPr>
          <w:rFonts w:cs="Times New Roman"/>
        </w:rPr>
        <w:t xml:space="preserve">proximity to </w:t>
      </w:r>
      <w:r w:rsidR="00826378">
        <w:rPr>
          <w:rFonts w:cs="Times New Roman"/>
        </w:rPr>
        <w:t xml:space="preserve">the agencies’ </w:t>
      </w:r>
      <w:r>
        <w:rPr>
          <w:rFonts w:cs="Times New Roman"/>
        </w:rPr>
        <w:t>geographical service areas</w:t>
      </w:r>
      <w:r w:rsidRPr="007B38B2">
        <w:rPr>
          <w:rFonts w:cs="Times New Roman"/>
        </w:rPr>
        <w:t>.</w:t>
      </w:r>
      <w:r w:rsidR="00023276">
        <w:rPr>
          <w:rFonts w:cs="Times New Roman"/>
        </w:rPr>
        <w:t xml:space="preserve"> </w:t>
      </w:r>
      <w:r w:rsidRPr="007B38B2">
        <w:rPr>
          <w:rFonts w:cs="Times New Roman"/>
        </w:rPr>
        <w:t>Heritage Behavioral Health</w:t>
      </w:r>
      <w:r>
        <w:rPr>
          <w:rFonts w:cs="Times New Roman"/>
        </w:rPr>
        <w:t xml:space="preserve"> (Decatur) and</w:t>
      </w:r>
      <w:r w:rsidRPr="007B38B2">
        <w:rPr>
          <w:rFonts w:cs="Times New Roman"/>
        </w:rPr>
        <w:t xml:space="preserve"> Human Service Center </w:t>
      </w:r>
      <w:r>
        <w:rPr>
          <w:rFonts w:cs="Times New Roman"/>
        </w:rPr>
        <w:t xml:space="preserve">(Peoria) </w:t>
      </w:r>
      <w:r w:rsidRPr="007B38B2">
        <w:rPr>
          <w:rFonts w:cs="Times New Roman"/>
        </w:rPr>
        <w:t xml:space="preserve">each </w:t>
      </w:r>
      <w:r>
        <w:rPr>
          <w:rFonts w:cs="Times New Roman"/>
        </w:rPr>
        <w:t>have</w:t>
      </w:r>
      <w:r w:rsidRPr="007B38B2">
        <w:rPr>
          <w:rFonts w:cs="Times New Roman"/>
        </w:rPr>
        <w:t xml:space="preserve"> access to Class Members from </w:t>
      </w:r>
      <w:r w:rsidR="00826378">
        <w:rPr>
          <w:rFonts w:cs="Times New Roman"/>
        </w:rPr>
        <w:t xml:space="preserve">only </w:t>
      </w:r>
      <w:r w:rsidRPr="007B38B2">
        <w:rPr>
          <w:rFonts w:cs="Times New Roman"/>
        </w:rPr>
        <w:t xml:space="preserve">one </w:t>
      </w:r>
      <w:r>
        <w:rPr>
          <w:rFonts w:cs="Times New Roman"/>
        </w:rPr>
        <w:t xml:space="preserve">SMHRF </w:t>
      </w:r>
      <w:r w:rsidR="00842B47">
        <w:rPr>
          <w:rFonts w:cs="Times New Roman"/>
        </w:rPr>
        <w:t>located</w:t>
      </w:r>
      <w:r w:rsidR="00D55B61">
        <w:rPr>
          <w:rFonts w:cs="Times New Roman"/>
        </w:rPr>
        <w:t xml:space="preserve"> in these respective</w:t>
      </w:r>
      <w:r>
        <w:rPr>
          <w:rFonts w:cs="Times New Roman"/>
        </w:rPr>
        <w:t xml:space="preserve"> cities</w:t>
      </w:r>
      <w:r w:rsidR="00826378">
        <w:rPr>
          <w:rFonts w:cs="Times New Roman"/>
        </w:rPr>
        <w:t>, so referrals to these agencies are limited</w:t>
      </w:r>
      <w:r w:rsidR="00023276">
        <w:rPr>
          <w:rFonts w:cs="Times New Roman"/>
        </w:rPr>
        <w:t xml:space="preserve">. </w:t>
      </w:r>
      <w:r w:rsidRPr="007B38B2">
        <w:rPr>
          <w:rFonts w:cs="Times New Roman"/>
        </w:rPr>
        <w:t>Association House of Chicago, Human Resource Development Institute</w:t>
      </w:r>
      <w:r w:rsidR="00842B47">
        <w:rPr>
          <w:rFonts w:cs="Times New Roman"/>
        </w:rPr>
        <w:t xml:space="preserve"> (HRDI)</w:t>
      </w:r>
      <w:r w:rsidRPr="007B38B2">
        <w:rPr>
          <w:rFonts w:cs="Times New Roman"/>
        </w:rPr>
        <w:t xml:space="preserve"> and Grand Prairie Services provide mental health services in locations that </w:t>
      </w:r>
      <w:r w:rsidR="00842B47">
        <w:rPr>
          <w:rFonts w:cs="Times New Roman"/>
        </w:rPr>
        <w:t>historically are in</w:t>
      </w:r>
      <w:r w:rsidRPr="007B38B2">
        <w:rPr>
          <w:rFonts w:cs="Times New Roman"/>
        </w:rPr>
        <w:t xml:space="preserve"> low demand </w:t>
      </w:r>
      <w:r>
        <w:rPr>
          <w:rFonts w:cs="Times New Roman"/>
        </w:rPr>
        <w:t>by</w:t>
      </w:r>
      <w:r w:rsidRPr="007B38B2">
        <w:rPr>
          <w:rFonts w:cs="Times New Roman"/>
        </w:rPr>
        <w:t xml:space="preserve"> Class Members (</w:t>
      </w:r>
      <w:r w:rsidR="006743C2">
        <w:rPr>
          <w:rFonts w:cs="Times New Roman"/>
        </w:rPr>
        <w:t>S</w:t>
      </w:r>
      <w:r w:rsidRPr="007B38B2">
        <w:rPr>
          <w:rFonts w:cs="Times New Roman"/>
        </w:rPr>
        <w:t>outh</w:t>
      </w:r>
      <w:r w:rsidR="006743C2">
        <w:rPr>
          <w:rFonts w:cs="Times New Roman"/>
        </w:rPr>
        <w:t xml:space="preserve"> S</w:t>
      </w:r>
      <w:r w:rsidRPr="007B38B2">
        <w:rPr>
          <w:rFonts w:cs="Times New Roman"/>
        </w:rPr>
        <w:t xml:space="preserve">ide, </w:t>
      </w:r>
      <w:r w:rsidR="006743C2">
        <w:rPr>
          <w:rFonts w:cs="Times New Roman"/>
        </w:rPr>
        <w:t>W</w:t>
      </w:r>
      <w:r w:rsidRPr="007B38B2">
        <w:rPr>
          <w:rFonts w:cs="Times New Roman"/>
        </w:rPr>
        <w:t>est</w:t>
      </w:r>
      <w:r w:rsidR="006743C2">
        <w:rPr>
          <w:rFonts w:cs="Times New Roman"/>
        </w:rPr>
        <w:t xml:space="preserve"> S</w:t>
      </w:r>
      <w:r w:rsidRPr="007B38B2">
        <w:rPr>
          <w:rFonts w:cs="Times New Roman"/>
        </w:rPr>
        <w:t xml:space="preserve">ide, </w:t>
      </w:r>
      <w:r w:rsidR="006743C2">
        <w:rPr>
          <w:rFonts w:cs="Times New Roman"/>
        </w:rPr>
        <w:t>W</w:t>
      </w:r>
      <w:r w:rsidRPr="007B38B2">
        <w:rPr>
          <w:rFonts w:cs="Times New Roman"/>
        </w:rPr>
        <w:t xml:space="preserve">est </w:t>
      </w:r>
      <w:r w:rsidR="006743C2">
        <w:rPr>
          <w:rFonts w:cs="Times New Roman"/>
        </w:rPr>
        <w:t>S</w:t>
      </w:r>
      <w:r w:rsidRPr="007B38B2">
        <w:rPr>
          <w:rFonts w:cs="Times New Roman"/>
        </w:rPr>
        <w:t xml:space="preserve">uburbs and </w:t>
      </w:r>
      <w:r w:rsidR="006743C2">
        <w:rPr>
          <w:rFonts w:cs="Times New Roman"/>
        </w:rPr>
        <w:t>S</w:t>
      </w:r>
      <w:r w:rsidRPr="007B38B2">
        <w:rPr>
          <w:rFonts w:cs="Times New Roman"/>
        </w:rPr>
        <w:t xml:space="preserve">outh </w:t>
      </w:r>
      <w:r w:rsidR="006743C2">
        <w:rPr>
          <w:rFonts w:cs="Times New Roman"/>
        </w:rPr>
        <w:t>S</w:t>
      </w:r>
      <w:r w:rsidRPr="007B38B2">
        <w:rPr>
          <w:rFonts w:cs="Times New Roman"/>
        </w:rPr>
        <w:t>uburb</w:t>
      </w:r>
      <w:r w:rsidR="006B7504">
        <w:rPr>
          <w:rFonts w:cs="Times New Roman"/>
        </w:rPr>
        <w:t xml:space="preserve">an </w:t>
      </w:r>
      <w:r w:rsidRPr="007B38B2">
        <w:rPr>
          <w:rFonts w:cs="Times New Roman"/>
        </w:rPr>
        <w:t>C</w:t>
      </w:r>
      <w:r w:rsidR="006B7504">
        <w:rPr>
          <w:rFonts w:cs="Times New Roman"/>
        </w:rPr>
        <w:t>ook County</w:t>
      </w:r>
      <w:r w:rsidRPr="007B38B2">
        <w:rPr>
          <w:rFonts w:cs="Times New Roman"/>
        </w:rPr>
        <w:t xml:space="preserve">). </w:t>
      </w:r>
      <w:r w:rsidR="0099201A">
        <w:rPr>
          <w:rFonts w:cs="Times New Roman"/>
        </w:rPr>
        <w:t xml:space="preserve"> Alt</w:t>
      </w:r>
      <w:r w:rsidRPr="007B38B2">
        <w:rPr>
          <w:rFonts w:cs="Times New Roman"/>
        </w:rPr>
        <w:t xml:space="preserve">hough </w:t>
      </w:r>
      <w:r w:rsidR="00913A8A" w:rsidRPr="007B38B2">
        <w:rPr>
          <w:rFonts w:cs="Times New Roman"/>
        </w:rPr>
        <w:t>the</w:t>
      </w:r>
      <w:r w:rsidR="00913A8A">
        <w:rPr>
          <w:rFonts w:cs="Times New Roman"/>
        </w:rPr>
        <w:t>se</w:t>
      </w:r>
      <w:r w:rsidR="00913A8A" w:rsidRPr="007B38B2">
        <w:rPr>
          <w:rFonts w:cs="Times New Roman"/>
        </w:rPr>
        <w:t xml:space="preserve"> </w:t>
      </w:r>
      <w:r w:rsidRPr="007B38B2">
        <w:rPr>
          <w:rFonts w:cs="Times New Roman"/>
        </w:rPr>
        <w:t>five providers did not receive a</w:t>
      </w:r>
      <w:r w:rsidR="0099201A">
        <w:rPr>
          <w:rFonts w:cs="Times New Roman"/>
        </w:rPr>
        <w:t xml:space="preserve"> proportional share of assignments/</w:t>
      </w:r>
      <w:r w:rsidRPr="007B38B2">
        <w:rPr>
          <w:rFonts w:cs="Times New Roman"/>
        </w:rPr>
        <w:t xml:space="preserve">referrals, three of the five </w:t>
      </w:r>
      <w:r w:rsidR="00826378">
        <w:rPr>
          <w:rFonts w:cs="Times New Roman"/>
        </w:rPr>
        <w:t xml:space="preserve">agencies </w:t>
      </w:r>
      <w:r w:rsidR="0099201A">
        <w:rPr>
          <w:rFonts w:cs="Times New Roman"/>
        </w:rPr>
        <w:t xml:space="preserve">did </w:t>
      </w:r>
      <w:r w:rsidRPr="007B38B2">
        <w:rPr>
          <w:rFonts w:cs="Times New Roman"/>
        </w:rPr>
        <w:t>manage to meet their projected</w:t>
      </w:r>
      <w:r w:rsidR="00913A8A">
        <w:rPr>
          <w:rFonts w:cs="Times New Roman"/>
        </w:rPr>
        <w:t xml:space="preserve"> transition</w:t>
      </w:r>
      <w:r w:rsidRPr="007B38B2">
        <w:rPr>
          <w:rFonts w:cs="Times New Roman"/>
        </w:rPr>
        <w:t xml:space="preserve"> target: Grand Prairie Services, Heritage Behavioral Health and Human Service Center</w:t>
      </w:r>
      <w:r w:rsidR="00D55B61">
        <w:rPr>
          <w:rFonts w:cs="Times New Roman"/>
        </w:rPr>
        <w:t>.</w:t>
      </w:r>
      <w:r w:rsidR="00842B47" w:rsidRPr="00842B47">
        <w:rPr>
          <w:rFonts w:cs="Times New Roman"/>
          <w:highlight w:val="yellow"/>
        </w:rPr>
        <w:t xml:space="preserve"> </w:t>
      </w:r>
    </w:p>
    <w:p w:rsidR="0009326C" w:rsidRPr="00D55B61" w:rsidRDefault="0009326C" w:rsidP="007B38B2">
      <w:pPr>
        <w:rPr>
          <w:rFonts w:cs="Times New Roman"/>
          <w:b/>
        </w:rPr>
      </w:pPr>
      <w:r w:rsidRPr="006B7504">
        <w:rPr>
          <w:rFonts w:cs="Times New Roman"/>
          <w:b/>
        </w:rPr>
        <w:t xml:space="preserve">Table </w:t>
      </w:r>
      <w:proofErr w:type="gramStart"/>
      <w:r w:rsidR="00D55B61" w:rsidRPr="006B7504">
        <w:rPr>
          <w:rFonts w:cs="Times New Roman"/>
          <w:b/>
        </w:rPr>
        <w:t>L(</w:t>
      </w:r>
      <w:proofErr w:type="gramEnd"/>
      <w:r w:rsidR="00D55B61" w:rsidRPr="006B7504">
        <w:rPr>
          <w:rFonts w:cs="Times New Roman"/>
          <w:b/>
        </w:rPr>
        <w:t>2)</w:t>
      </w: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500"/>
        <w:gridCol w:w="1340"/>
        <w:gridCol w:w="1200"/>
        <w:gridCol w:w="1440"/>
      </w:tblGrid>
      <w:tr w:rsidR="0099201A" w:rsidRPr="0099201A" w:rsidTr="0099201A">
        <w:trPr>
          <w:trHeight w:val="580"/>
          <w:tblHeader/>
        </w:trPr>
        <w:tc>
          <w:tcPr>
            <w:tcW w:w="2255" w:type="dxa"/>
            <w:shd w:val="clear" w:color="000000" w:fill="BFBFBF"/>
            <w:noWrap/>
            <w:vAlign w:val="bottom"/>
            <w:hideMark/>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Working Agency</w:t>
            </w:r>
          </w:p>
        </w:tc>
        <w:tc>
          <w:tcPr>
            <w:tcW w:w="1500" w:type="dxa"/>
            <w:shd w:val="clear" w:color="000000" w:fill="BFBFBF"/>
            <w:noWrap/>
            <w:vAlign w:val="bottom"/>
            <w:hideMark/>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Agency Target</w:t>
            </w:r>
          </w:p>
        </w:tc>
        <w:tc>
          <w:tcPr>
            <w:tcW w:w="1340" w:type="dxa"/>
            <w:shd w:val="clear" w:color="000000" w:fill="BFBFBF"/>
            <w:vAlign w:val="bottom"/>
            <w:hideMark/>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 xml:space="preserve">% of Target needed </w:t>
            </w:r>
          </w:p>
        </w:tc>
        <w:tc>
          <w:tcPr>
            <w:tcW w:w="1200" w:type="dxa"/>
            <w:shd w:val="clear" w:color="000000" w:fill="BFBFBF"/>
            <w:vAlign w:val="bottom"/>
            <w:hideMark/>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 of referrals received</w:t>
            </w:r>
          </w:p>
        </w:tc>
        <w:tc>
          <w:tcPr>
            <w:tcW w:w="1440" w:type="dxa"/>
            <w:shd w:val="clear" w:color="000000" w:fill="BFBFBF"/>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Target achieved</w:t>
            </w:r>
          </w:p>
        </w:tc>
      </w:tr>
      <w:tr w:rsidR="0099201A" w:rsidRPr="0099201A" w:rsidTr="0099201A">
        <w:trPr>
          <w:trHeight w:val="580"/>
        </w:trPr>
        <w:tc>
          <w:tcPr>
            <w:tcW w:w="2255"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Association House of Chicago</w:t>
            </w:r>
          </w:p>
        </w:tc>
        <w:tc>
          <w:tcPr>
            <w:tcW w:w="1500"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30</w:t>
            </w:r>
          </w:p>
        </w:tc>
        <w:tc>
          <w:tcPr>
            <w:tcW w:w="134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7.5%</w:t>
            </w:r>
          </w:p>
        </w:tc>
        <w:tc>
          <w:tcPr>
            <w:tcW w:w="120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5.9%</w:t>
            </w:r>
          </w:p>
        </w:tc>
        <w:tc>
          <w:tcPr>
            <w:tcW w:w="1440" w:type="dxa"/>
            <w:shd w:val="clear" w:color="auto" w:fill="FFFFFF" w:themeFill="background1"/>
          </w:tcPr>
          <w:p w:rsidR="0099201A" w:rsidRPr="0099201A" w:rsidRDefault="0099201A" w:rsidP="0099201A">
            <w:pPr>
              <w:spacing w:after="0" w:line="240" w:lineRule="auto"/>
              <w:jc w:val="center"/>
              <w:rPr>
                <w:rFonts w:eastAsia="Times New Roman" w:cs="Times New Roman"/>
                <w:color w:val="000000"/>
              </w:rPr>
            </w:pPr>
          </w:p>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15</w:t>
            </w:r>
          </w:p>
        </w:tc>
      </w:tr>
      <w:tr w:rsidR="0099201A" w:rsidRPr="0099201A" w:rsidTr="0099201A">
        <w:trPr>
          <w:trHeight w:val="580"/>
        </w:trPr>
        <w:tc>
          <w:tcPr>
            <w:tcW w:w="2255"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Grand Prairie Services</w:t>
            </w:r>
          </w:p>
        </w:tc>
        <w:tc>
          <w:tcPr>
            <w:tcW w:w="1500"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35</w:t>
            </w:r>
          </w:p>
        </w:tc>
        <w:tc>
          <w:tcPr>
            <w:tcW w:w="134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8.75%</w:t>
            </w:r>
          </w:p>
        </w:tc>
        <w:tc>
          <w:tcPr>
            <w:tcW w:w="120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4.9%</w:t>
            </w:r>
          </w:p>
        </w:tc>
        <w:tc>
          <w:tcPr>
            <w:tcW w:w="1440" w:type="dxa"/>
            <w:shd w:val="clear" w:color="auto" w:fill="FFFFFF" w:themeFill="background1"/>
          </w:tcPr>
          <w:p w:rsidR="0099201A" w:rsidRPr="0099201A" w:rsidRDefault="0099201A" w:rsidP="0099201A">
            <w:pPr>
              <w:spacing w:after="0" w:line="240" w:lineRule="auto"/>
              <w:jc w:val="center"/>
              <w:rPr>
                <w:rFonts w:eastAsia="Times New Roman" w:cs="Times New Roman"/>
                <w:color w:val="000000"/>
              </w:rPr>
            </w:pPr>
          </w:p>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35</w:t>
            </w:r>
          </w:p>
        </w:tc>
      </w:tr>
      <w:tr w:rsidR="0099201A" w:rsidRPr="0099201A" w:rsidTr="0099201A">
        <w:trPr>
          <w:trHeight w:val="580"/>
        </w:trPr>
        <w:tc>
          <w:tcPr>
            <w:tcW w:w="2255"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Heritage Behavioral Health</w:t>
            </w:r>
          </w:p>
        </w:tc>
        <w:tc>
          <w:tcPr>
            <w:tcW w:w="1500"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16</w:t>
            </w:r>
          </w:p>
        </w:tc>
        <w:tc>
          <w:tcPr>
            <w:tcW w:w="134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3.75%</w:t>
            </w:r>
          </w:p>
        </w:tc>
        <w:tc>
          <w:tcPr>
            <w:tcW w:w="120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2.6%</w:t>
            </w:r>
          </w:p>
        </w:tc>
        <w:tc>
          <w:tcPr>
            <w:tcW w:w="1440" w:type="dxa"/>
            <w:shd w:val="clear" w:color="auto" w:fill="FFFFFF" w:themeFill="background1"/>
          </w:tcPr>
          <w:p w:rsidR="0099201A" w:rsidRPr="0099201A" w:rsidRDefault="0099201A" w:rsidP="0099201A">
            <w:pPr>
              <w:spacing w:after="0" w:line="240" w:lineRule="auto"/>
              <w:jc w:val="center"/>
              <w:rPr>
                <w:rFonts w:eastAsia="Times New Roman" w:cs="Times New Roman"/>
                <w:color w:val="000000"/>
              </w:rPr>
            </w:pPr>
          </w:p>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16</w:t>
            </w:r>
          </w:p>
        </w:tc>
      </w:tr>
      <w:tr w:rsidR="0099201A" w:rsidRPr="0099201A" w:rsidTr="0099201A">
        <w:trPr>
          <w:trHeight w:val="580"/>
        </w:trPr>
        <w:tc>
          <w:tcPr>
            <w:tcW w:w="2255"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Human Resource Development Institute</w:t>
            </w:r>
          </w:p>
        </w:tc>
        <w:tc>
          <w:tcPr>
            <w:tcW w:w="1500"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30</w:t>
            </w:r>
          </w:p>
        </w:tc>
        <w:tc>
          <w:tcPr>
            <w:tcW w:w="134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7.50%</w:t>
            </w:r>
          </w:p>
        </w:tc>
        <w:tc>
          <w:tcPr>
            <w:tcW w:w="120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5.9%</w:t>
            </w:r>
          </w:p>
        </w:tc>
        <w:tc>
          <w:tcPr>
            <w:tcW w:w="1440" w:type="dxa"/>
            <w:shd w:val="clear" w:color="auto" w:fill="FFFFFF" w:themeFill="background1"/>
          </w:tcPr>
          <w:p w:rsidR="0099201A" w:rsidRPr="0099201A" w:rsidRDefault="0099201A" w:rsidP="0099201A">
            <w:pPr>
              <w:spacing w:after="0" w:line="240" w:lineRule="auto"/>
              <w:jc w:val="center"/>
              <w:rPr>
                <w:rFonts w:eastAsia="Times New Roman" w:cs="Times New Roman"/>
                <w:color w:val="000000"/>
              </w:rPr>
            </w:pPr>
          </w:p>
          <w:p w:rsidR="0099201A" w:rsidRPr="0099201A" w:rsidRDefault="0009326C" w:rsidP="0099201A">
            <w:pPr>
              <w:spacing w:after="0" w:line="240" w:lineRule="auto"/>
              <w:rPr>
                <w:rFonts w:eastAsia="Times New Roman" w:cs="Times New Roman"/>
                <w:color w:val="000000"/>
              </w:rPr>
            </w:pPr>
            <w:r>
              <w:rPr>
                <w:rFonts w:eastAsia="Times New Roman" w:cs="Times New Roman"/>
                <w:color w:val="000000"/>
              </w:rPr>
              <w:t xml:space="preserve">     </w:t>
            </w:r>
          </w:p>
          <w:p w:rsidR="0099201A" w:rsidRPr="0099201A" w:rsidRDefault="0099201A" w:rsidP="0099201A">
            <w:pPr>
              <w:spacing w:after="0" w:line="240" w:lineRule="auto"/>
              <w:rPr>
                <w:rFonts w:eastAsia="Times New Roman" w:cs="Times New Roman"/>
                <w:color w:val="000000"/>
              </w:rPr>
            </w:pPr>
            <w:r w:rsidRPr="0099201A">
              <w:rPr>
                <w:rFonts w:eastAsia="Times New Roman" w:cs="Times New Roman"/>
                <w:color w:val="000000"/>
              </w:rPr>
              <w:t xml:space="preserve">       </w:t>
            </w:r>
            <w:r w:rsidR="0009326C">
              <w:rPr>
                <w:rFonts w:eastAsia="Times New Roman" w:cs="Times New Roman"/>
                <w:color w:val="000000"/>
              </w:rPr>
              <w:t xml:space="preserve"> </w:t>
            </w:r>
            <w:r w:rsidRPr="0099201A">
              <w:rPr>
                <w:rFonts w:eastAsia="Times New Roman" w:cs="Times New Roman"/>
                <w:color w:val="000000"/>
              </w:rPr>
              <w:t xml:space="preserve"> 26</w:t>
            </w:r>
          </w:p>
        </w:tc>
      </w:tr>
      <w:tr w:rsidR="0099201A" w:rsidRPr="0099201A" w:rsidTr="0099201A">
        <w:trPr>
          <w:trHeight w:val="580"/>
        </w:trPr>
        <w:tc>
          <w:tcPr>
            <w:tcW w:w="2255"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Human Service Center</w:t>
            </w:r>
          </w:p>
        </w:tc>
        <w:tc>
          <w:tcPr>
            <w:tcW w:w="1500" w:type="dxa"/>
            <w:shd w:val="clear" w:color="auto" w:fill="FFFFFF" w:themeFill="background1"/>
            <w:noWrap/>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20</w:t>
            </w:r>
          </w:p>
        </w:tc>
        <w:tc>
          <w:tcPr>
            <w:tcW w:w="134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5.0%</w:t>
            </w:r>
          </w:p>
        </w:tc>
        <w:tc>
          <w:tcPr>
            <w:tcW w:w="1200" w:type="dxa"/>
            <w:shd w:val="clear" w:color="auto" w:fill="FFFFFF" w:themeFill="background1"/>
            <w:vAlign w:val="bottom"/>
          </w:tcPr>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4.6%</w:t>
            </w:r>
          </w:p>
        </w:tc>
        <w:tc>
          <w:tcPr>
            <w:tcW w:w="1440" w:type="dxa"/>
            <w:shd w:val="clear" w:color="auto" w:fill="FFFFFF" w:themeFill="background1"/>
          </w:tcPr>
          <w:p w:rsidR="0099201A" w:rsidRPr="0099201A" w:rsidRDefault="0099201A" w:rsidP="0099201A">
            <w:pPr>
              <w:spacing w:after="0" w:line="240" w:lineRule="auto"/>
              <w:jc w:val="center"/>
              <w:rPr>
                <w:rFonts w:eastAsia="Times New Roman" w:cs="Times New Roman"/>
                <w:color w:val="000000"/>
              </w:rPr>
            </w:pPr>
          </w:p>
          <w:p w:rsidR="0099201A" w:rsidRPr="0099201A" w:rsidRDefault="0099201A" w:rsidP="0099201A">
            <w:pPr>
              <w:spacing w:after="0" w:line="240" w:lineRule="auto"/>
              <w:jc w:val="center"/>
              <w:rPr>
                <w:rFonts w:eastAsia="Times New Roman" w:cs="Times New Roman"/>
                <w:color w:val="000000"/>
              </w:rPr>
            </w:pPr>
            <w:r w:rsidRPr="0099201A">
              <w:rPr>
                <w:rFonts w:eastAsia="Times New Roman" w:cs="Times New Roman"/>
                <w:color w:val="000000"/>
              </w:rPr>
              <w:t>20</w:t>
            </w:r>
          </w:p>
        </w:tc>
      </w:tr>
    </w:tbl>
    <w:p w:rsidR="00494C0F" w:rsidRDefault="00494C0F" w:rsidP="0073231F">
      <w:pPr>
        <w:rPr>
          <w:rFonts w:ascii="Georgia" w:hAnsi="Georgia" w:cs="Times New Roman"/>
        </w:rPr>
      </w:pPr>
    </w:p>
    <w:p w:rsidR="009A0DA9" w:rsidRDefault="009A0DA9" w:rsidP="0073231F">
      <w:pPr>
        <w:rPr>
          <w:rFonts w:ascii="Georgia" w:hAnsi="Georgia" w:cs="Times New Roman"/>
        </w:rPr>
      </w:pPr>
      <w:r w:rsidRPr="00467DE6">
        <w:rPr>
          <w:rFonts w:cs="Times New Roman"/>
          <w:b/>
        </w:rPr>
        <w:t xml:space="preserve">Table </w:t>
      </w:r>
      <w:r w:rsidR="005D68CE">
        <w:rPr>
          <w:rFonts w:cs="Times New Roman"/>
          <w:b/>
        </w:rPr>
        <w:t>M</w:t>
      </w:r>
      <w:r>
        <w:rPr>
          <w:rFonts w:cs="Times New Roman"/>
          <w:b/>
        </w:rPr>
        <w:t xml:space="preserve"> </w:t>
      </w:r>
      <w:r w:rsidR="00826378" w:rsidRPr="00826378">
        <w:rPr>
          <w:rFonts w:cs="Times New Roman"/>
        </w:rPr>
        <w:t>reflects</w:t>
      </w:r>
      <w:r>
        <w:rPr>
          <w:rFonts w:cs="Times New Roman"/>
        </w:rPr>
        <w:t xml:space="preserve"> </w:t>
      </w:r>
      <w:r w:rsidRPr="0081050D">
        <w:rPr>
          <w:rFonts w:cs="Times New Roman"/>
        </w:rPr>
        <w:t>the</w:t>
      </w:r>
      <w:r>
        <w:rPr>
          <w:rFonts w:cs="Times New Roman"/>
        </w:rPr>
        <w:t xml:space="preserve"> geographical</w:t>
      </w:r>
      <w:r w:rsidRPr="0081050D">
        <w:rPr>
          <w:rFonts w:cs="Times New Roman"/>
        </w:rPr>
        <w:t xml:space="preserve"> preference</w:t>
      </w:r>
      <w:r w:rsidR="006B7504">
        <w:rPr>
          <w:rFonts w:cs="Times New Roman"/>
        </w:rPr>
        <w:t xml:space="preserve"> area</w:t>
      </w:r>
      <w:r>
        <w:rPr>
          <w:rFonts w:cs="Times New Roman"/>
        </w:rPr>
        <w:t>s</w:t>
      </w:r>
      <w:r w:rsidRPr="0081050D">
        <w:rPr>
          <w:rFonts w:cs="Times New Roman"/>
        </w:rPr>
        <w:t xml:space="preserve"> </w:t>
      </w:r>
      <w:r w:rsidR="006B7504">
        <w:rPr>
          <w:rFonts w:cs="Times New Roman"/>
        </w:rPr>
        <w:t>for transitioning</w:t>
      </w:r>
      <w:r w:rsidR="00B3037C">
        <w:rPr>
          <w:rFonts w:cs="Times New Roman"/>
        </w:rPr>
        <w:t xml:space="preserve"> </w:t>
      </w:r>
      <w:r w:rsidRPr="0081050D">
        <w:rPr>
          <w:rFonts w:cs="Times New Roman"/>
        </w:rPr>
        <w:t>C</w:t>
      </w:r>
      <w:r>
        <w:rPr>
          <w:rFonts w:cs="Times New Roman"/>
        </w:rPr>
        <w:t>lass Member</w:t>
      </w:r>
      <w:r w:rsidRPr="0081050D">
        <w:rPr>
          <w:rFonts w:cs="Times New Roman"/>
        </w:rPr>
        <w:t>s</w:t>
      </w:r>
      <w:r>
        <w:rPr>
          <w:rFonts w:cs="Times New Roman"/>
        </w:rPr>
        <w:t xml:space="preserve"> </w:t>
      </w:r>
      <w:r w:rsidRPr="0081050D">
        <w:rPr>
          <w:rFonts w:cs="Times New Roman"/>
        </w:rPr>
        <w:t>during this reporting period.</w:t>
      </w:r>
    </w:p>
    <w:p w:rsidR="00467DE6" w:rsidRDefault="00467DE6" w:rsidP="0073231F">
      <w:pPr>
        <w:rPr>
          <w:rFonts w:cs="Times New Roman"/>
          <w:b/>
        </w:rPr>
      </w:pPr>
      <w:r w:rsidRPr="00467DE6">
        <w:rPr>
          <w:rFonts w:cs="Times New Roman"/>
          <w:b/>
        </w:rPr>
        <w:t xml:space="preserve">Table </w:t>
      </w:r>
      <w:r w:rsidR="005D68CE">
        <w:rPr>
          <w:rFonts w:cs="Times New Roman"/>
          <w:b/>
        </w:rPr>
        <w:t>M</w:t>
      </w:r>
    </w:p>
    <w:tbl>
      <w:tblPr>
        <w:tblW w:w="8185" w:type="dxa"/>
        <w:tblLook w:val="04A0" w:firstRow="1" w:lastRow="0" w:firstColumn="1" w:lastColumn="0" w:noHBand="0" w:noVBand="1"/>
      </w:tblPr>
      <w:tblGrid>
        <w:gridCol w:w="3980"/>
        <w:gridCol w:w="1775"/>
        <w:gridCol w:w="2430"/>
      </w:tblGrid>
      <w:tr w:rsidR="00467DE6" w:rsidRPr="00467DE6" w:rsidTr="00467DE6">
        <w:trPr>
          <w:trHeight w:val="290"/>
          <w:tblHeader/>
        </w:trPr>
        <w:tc>
          <w:tcPr>
            <w:tcW w:w="39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67DE6" w:rsidRPr="00467DE6" w:rsidRDefault="00467DE6" w:rsidP="00467DE6">
            <w:pPr>
              <w:spacing w:after="0" w:line="240" w:lineRule="auto"/>
              <w:jc w:val="center"/>
              <w:rPr>
                <w:rFonts w:eastAsia="Times New Roman" w:cs="Times New Roman"/>
                <w:b/>
                <w:color w:val="000000"/>
              </w:rPr>
            </w:pPr>
            <w:r w:rsidRPr="00467DE6">
              <w:rPr>
                <w:rFonts w:eastAsia="Times New Roman" w:cs="Times New Roman"/>
                <w:b/>
                <w:color w:val="000000"/>
              </w:rPr>
              <w:t>Geo</w:t>
            </w:r>
            <w:r w:rsidR="006B7504">
              <w:rPr>
                <w:rFonts w:eastAsia="Times New Roman" w:cs="Times New Roman"/>
                <w:b/>
                <w:color w:val="000000"/>
              </w:rPr>
              <w:t xml:space="preserve">graphical </w:t>
            </w:r>
            <w:r w:rsidRPr="00467DE6">
              <w:rPr>
                <w:rFonts w:eastAsia="Times New Roman" w:cs="Times New Roman"/>
                <w:b/>
                <w:color w:val="000000"/>
              </w:rPr>
              <w:t>Location</w:t>
            </w:r>
          </w:p>
        </w:tc>
        <w:tc>
          <w:tcPr>
            <w:tcW w:w="1775" w:type="dxa"/>
            <w:tcBorders>
              <w:top w:val="single" w:sz="4" w:space="0" w:color="auto"/>
              <w:left w:val="nil"/>
              <w:bottom w:val="single" w:sz="4" w:space="0" w:color="auto"/>
              <w:right w:val="single" w:sz="4" w:space="0" w:color="auto"/>
            </w:tcBorders>
            <w:shd w:val="clear" w:color="000000" w:fill="C0C0C0"/>
            <w:noWrap/>
            <w:vAlign w:val="bottom"/>
            <w:hideMark/>
          </w:tcPr>
          <w:p w:rsidR="00467DE6" w:rsidRPr="00467DE6" w:rsidRDefault="00467DE6" w:rsidP="00467DE6">
            <w:pPr>
              <w:spacing w:after="0" w:line="240" w:lineRule="auto"/>
              <w:jc w:val="center"/>
              <w:rPr>
                <w:rFonts w:eastAsia="Times New Roman" w:cs="Times New Roman"/>
                <w:b/>
                <w:color w:val="000000"/>
              </w:rPr>
            </w:pPr>
            <w:r w:rsidRPr="00467DE6">
              <w:rPr>
                <w:rFonts w:eastAsia="Times New Roman" w:cs="Times New Roman"/>
                <w:b/>
                <w:color w:val="000000"/>
              </w:rPr>
              <w:t>Count</w:t>
            </w:r>
          </w:p>
        </w:tc>
        <w:tc>
          <w:tcPr>
            <w:tcW w:w="2430" w:type="dxa"/>
            <w:tcBorders>
              <w:top w:val="single" w:sz="4" w:space="0" w:color="auto"/>
              <w:left w:val="nil"/>
              <w:bottom w:val="single" w:sz="4" w:space="0" w:color="auto"/>
              <w:right w:val="single" w:sz="4" w:space="0" w:color="auto"/>
            </w:tcBorders>
            <w:shd w:val="clear" w:color="000000" w:fill="A6A6A6"/>
            <w:noWrap/>
            <w:vAlign w:val="bottom"/>
            <w:hideMark/>
          </w:tcPr>
          <w:p w:rsidR="00467DE6" w:rsidRPr="00467DE6" w:rsidRDefault="00467DE6" w:rsidP="00467DE6">
            <w:pPr>
              <w:spacing w:after="0" w:line="240" w:lineRule="auto"/>
              <w:rPr>
                <w:rFonts w:eastAsia="Times New Roman" w:cs="Times New Roman"/>
                <w:b/>
                <w:color w:val="000000"/>
              </w:rPr>
            </w:pPr>
            <w:r w:rsidRPr="00467DE6">
              <w:rPr>
                <w:rFonts w:eastAsia="Times New Roman" w:cs="Times New Roman"/>
                <w:b/>
                <w:color w:val="000000"/>
              </w:rPr>
              <w:t xml:space="preserve">                    %</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 xml:space="preserve">Chicago </w:t>
            </w:r>
            <w:r w:rsidR="006743C2">
              <w:rPr>
                <w:rFonts w:eastAsia="Times New Roman" w:cs="Times New Roman"/>
                <w:color w:val="000000"/>
              </w:rPr>
              <w:t>N</w:t>
            </w:r>
            <w:r w:rsidRPr="00467DE6">
              <w:rPr>
                <w:rFonts w:eastAsia="Times New Roman" w:cs="Times New Roman"/>
                <w:color w:val="000000"/>
              </w:rPr>
              <w:t>orth</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210</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43.0%</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 xml:space="preserve">Chicago </w:t>
            </w:r>
            <w:r w:rsidR="006743C2">
              <w:rPr>
                <w:rFonts w:eastAsia="Times New Roman" w:cs="Times New Roman"/>
                <w:color w:val="000000"/>
              </w:rPr>
              <w:t>S</w:t>
            </w:r>
            <w:r w:rsidRPr="00467DE6">
              <w:rPr>
                <w:rFonts w:eastAsia="Times New Roman" w:cs="Times New Roman"/>
                <w:color w:val="000000"/>
              </w:rPr>
              <w:t>outh</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46</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9.4%</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Chicago West</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13</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2.7%</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BA72CE" w:rsidP="00467DE6">
            <w:pPr>
              <w:spacing w:after="0" w:line="240" w:lineRule="auto"/>
              <w:rPr>
                <w:rFonts w:eastAsia="Times New Roman" w:cs="Times New Roman"/>
                <w:color w:val="000000"/>
              </w:rPr>
            </w:pPr>
            <w:r w:rsidRPr="00467DE6">
              <w:rPr>
                <w:rFonts w:eastAsia="Times New Roman" w:cs="Times New Roman"/>
                <w:color w:val="000000"/>
              </w:rPr>
              <w:t>DuPage</w:t>
            </w:r>
            <w:r w:rsidR="00467DE6" w:rsidRPr="00467DE6">
              <w:rPr>
                <w:rFonts w:eastAsia="Times New Roman" w:cs="Times New Roman"/>
                <w:color w:val="000000"/>
              </w:rPr>
              <w:t xml:space="preserve"> County</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4</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0.8%</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Kane County</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8</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1.6%</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Kankakee county</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19</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3.9%</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 xml:space="preserve">Lake County </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32</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6.6%</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Macon County</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11</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2.3%</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McHenry County</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3</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0.6%</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other</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12</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2.5%</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Peoria County</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25</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5.1%</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6743C2" w:rsidP="00467DE6">
            <w:pPr>
              <w:spacing w:after="0" w:line="240" w:lineRule="auto"/>
              <w:rPr>
                <w:rFonts w:eastAsia="Times New Roman" w:cs="Times New Roman"/>
                <w:color w:val="000000"/>
              </w:rPr>
            </w:pPr>
            <w:r>
              <w:rPr>
                <w:rFonts w:eastAsia="Times New Roman" w:cs="Times New Roman"/>
                <w:color w:val="000000"/>
              </w:rPr>
              <w:t>S</w:t>
            </w:r>
            <w:r w:rsidR="00467DE6" w:rsidRPr="00467DE6">
              <w:rPr>
                <w:rFonts w:eastAsia="Times New Roman" w:cs="Times New Roman"/>
                <w:color w:val="000000"/>
              </w:rPr>
              <w:t xml:space="preserve">uburban </w:t>
            </w:r>
            <w:r>
              <w:rPr>
                <w:rFonts w:eastAsia="Times New Roman" w:cs="Times New Roman"/>
                <w:color w:val="000000"/>
              </w:rPr>
              <w:t>C</w:t>
            </w:r>
            <w:r w:rsidR="00467DE6" w:rsidRPr="00467DE6">
              <w:rPr>
                <w:rFonts w:eastAsia="Times New Roman" w:cs="Times New Roman"/>
                <w:color w:val="000000"/>
              </w:rPr>
              <w:t xml:space="preserve">ook </w:t>
            </w:r>
            <w:r>
              <w:rPr>
                <w:rFonts w:eastAsia="Times New Roman" w:cs="Times New Roman"/>
                <w:color w:val="000000"/>
              </w:rPr>
              <w:t>N</w:t>
            </w:r>
            <w:r w:rsidR="00467DE6" w:rsidRPr="00467DE6">
              <w:rPr>
                <w:rFonts w:eastAsia="Times New Roman" w:cs="Times New Roman"/>
                <w:color w:val="000000"/>
              </w:rPr>
              <w:t>orth</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55</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11.3%</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6743C2" w:rsidP="00467DE6">
            <w:pPr>
              <w:spacing w:after="0" w:line="240" w:lineRule="auto"/>
              <w:rPr>
                <w:rFonts w:eastAsia="Times New Roman" w:cs="Times New Roman"/>
                <w:color w:val="000000"/>
              </w:rPr>
            </w:pPr>
            <w:r>
              <w:rPr>
                <w:rFonts w:eastAsia="Times New Roman" w:cs="Times New Roman"/>
                <w:color w:val="000000"/>
              </w:rPr>
              <w:t>S</w:t>
            </w:r>
            <w:r w:rsidR="00467DE6" w:rsidRPr="00467DE6">
              <w:rPr>
                <w:rFonts w:eastAsia="Times New Roman" w:cs="Times New Roman"/>
                <w:color w:val="000000"/>
              </w:rPr>
              <w:t xml:space="preserve">uburban </w:t>
            </w:r>
            <w:r>
              <w:rPr>
                <w:rFonts w:eastAsia="Times New Roman" w:cs="Times New Roman"/>
                <w:color w:val="000000"/>
              </w:rPr>
              <w:t>C</w:t>
            </w:r>
            <w:r w:rsidR="00467DE6" w:rsidRPr="00467DE6">
              <w:rPr>
                <w:rFonts w:eastAsia="Times New Roman" w:cs="Times New Roman"/>
                <w:color w:val="000000"/>
              </w:rPr>
              <w:t xml:space="preserve">ook </w:t>
            </w:r>
            <w:r>
              <w:rPr>
                <w:rFonts w:eastAsia="Times New Roman" w:cs="Times New Roman"/>
                <w:color w:val="000000"/>
              </w:rPr>
              <w:t>S</w:t>
            </w:r>
            <w:r w:rsidR="00467DE6" w:rsidRPr="00467DE6">
              <w:rPr>
                <w:rFonts w:eastAsia="Times New Roman" w:cs="Times New Roman"/>
                <w:color w:val="000000"/>
              </w:rPr>
              <w:t>outh</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22</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4.5%</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6743C2" w:rsidP="00467DE6">
            <w:pPr>
              <w:spacing w:after="0" w:line="240" w:lineRule="auto"/>
              <w:rPr>
                <w:rFonts w:eastAsia="Times New Roman" w:cs="Times New Roman"/>
                <w:color w:val="000000"/>
              </w:rPr>
            </w:pPr>
            <w:r>
              <w:rPr>
                <w:rFonts w:eastAsia="Times New Roman" w:cs="Times New Roman"/>
                <w:color w:val="000000"/>
              </w:rPr>
              <w:t>S</w:t>
            </w:r>
            <w:r w:rsidR="00467DE6" w:rsidRPr="00467DE6">
              <w:rPr>
                <w:rFonts w:eastAsia="Times New Roman" w:cs="Times New Roman"/>
                <w:color w:val="000000"/>
              </w:rPr>
              <w:t xml:space="preserve">uburban </w:t>
            </w:r>
            <w:r>
              <w:rPr>
                <w:rFonts w:eastAsia="Times New Roman" w:cs="Times New Roman"/>
                <w:color w:val="000000"/>
              </w:rPr>
              <w:t>C</w:t>
            </w:r>
            <w:r w:rsidR="00467DE6" w:rsidRPr="00467DE6">
              <w:rPr>
                <w:rFonts w:eastAsia="Times New Roman" w:cs="Times New Roman"/>
                <w:color w:val="000000"/>
              </w:rPr>
              <w:t xml:space="preserve">ook </w:t>
            </w:r>
            <w:r>
              <w:rPr>
                <w:rFonts w:eastAsia="Times New Roman" w:cs="Times New Roman"/>
                <w:color w:val="000000"/>
              </w:rPr>
              <w:t>W</w:t>
            </w:r>
            <w:r w:rsidR="00467DE6" w:rsidRPr="00467DE6">
              <w:rPr>
                <w:rFonts w:eastAsia="Times New Roman" w:cs="Times New Roman"/>
                <w:color w:val="000000"/>
              </w:rPr>
              <w:t>est</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24</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4.9%</w:t>
            </w: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Will County</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4</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0.8%</w:t>
            </w:r>
          </w:p>
        </w:tc>
      </w:tr>
      <w:tr w:rsidR="00467DE6" w:rsidRPr="00467DE6" w:rsidTr="005D68CE">
        <w:trPr>
          <w:trHeight w:val="50"/>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Class Members who ha</w:t>
            </w:r>
            <w:r w:rsidR="006743C2">
              <w:rPr>
                <w:rFonts w:eastAsia="Times New Roman" w:cs="Times New Roman"/>
                <w:color w:val="000000"/>
              </w:rPr>
              <w:t>ve</w:t>
            </w:r>
            <w:r w:rsidRPr="00467DE6">
              <w:rPr>
                <w:rFonts w:eastAsia="Times New Roman" w:cs="Times New Roman"/>
                <w:color w:val="000000"/>
              </w:rPr>
              <w:t xml:space="preserve"> geo</w:t>
            </w:r>
            <w:r w:rsidR="006743C2">
              <w:rPr>
                <w:rFonts w:eastAsia="Times New Roman" w:cs="Times New Roman"/>
                <w:color w:val="000000"/>
              </w:rPr>
              <w:t>graphical</w:t>
            </w:r>
            <w:r w:rsidRPr="00467DE6">
              <w:rPr>
                <w:rFonts w:eastAsia="Times New Roman" w:cs="Times New Roman"/>
                <w:color w:val="000000"/>
              </w:rPr>
              <w:t xml:space="preserve"> preferences:</w:t>
            </w:r>
          </w:p>
        </w:tc>
        <w:tc>
          <w:tcPr>
            <w:tcW w:w="1775"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488</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jc w:val="center"/>
              <w:rPr>
                <w:rFonts w:eastAsia="Times New Roman" w:cs="Times New Roman"/>
                <w:color w:val="000000"/>
              </w:rPr>
            </w:pPr>
            <w:r w:rsidRPr="00467DE6">
              <w:rPr>
                <w:rFonts w:eastAsia="Times New Roman" w:cs="Times New Roman"/>
                <w:color w:val="000000"/>
              </w:rPr>
              <w:t>91.2%</w:t>
            </w:r>
          </w:p>
        </w:tc>
      </w:tr>
      <w:tr w:rsidR="00467DE6" w:rsidRPr="00467DE6" w:rsidTr="005D68CE">
        <w:trPr>
          <w:trHeight w:val="50"/>
        </w:trPr>
        <w:tc>
          <w:tcPr>
            <w:tcW w:w="3980" w:type="dxa"/>
            <w:tcBorders>
              <w:top w:val="nil"/>
              <w:left w:val="single" w:sz="4" w:space="0" w:color="auto"/>
              <w:bottom w:val="single" w:sz="4" w:space="0" w:color="auto"/>
              <w:right w:val="single" w:sz="4" w:space="0" w:color="auto"/>
            </w:tcBorders>
            <w:shd w:val="clear" w:color="auto" w:fill="auto"/>
            <w:vAlign w:val="bottom"/>
          </w:tcPr>
          <w:p w:rsidR="00467DE6" w:rsidRPr="00467DE6" w:rsidRDefault="00467DE6" w:rsidP="00467DE6">
            <w:pPr>
              <w:spacing w:after="0" w:line="240" w:lineRule="auto"/>
              <w:rPr>
                <w:rFonts w:eastAsia="Times New Roman" w:cs="Times New Roman"/>
                <w:color w:val="000000"/>
              </w:rPr>
            </w:pPr>
          </w:p>
        </w:tc>
        <w:tc>
          <w:tcPr>
            <w:tcW w:w="1775" w:type="dxa"/>
            <w:tcBorders>
              <w:top w:val="nil"/>
              <w:left w:val="nil"/>
              <w:bottom w:val="single" w:sz="4" w:space="0" w:color="auto"/>
              <w:right w:val="single" w:sz="4" w:space="0" w:color="auto"/>
            </w:tcBorders>
            <w:shd w:val="clear" w:color="auto" w:fill="auto"/>
            <w:noWrap/>
            <w:vAlign w:val="bottom"/>
          </w:tcPr>
          <w:p w:rsidR="00467DE6" w:rsidRPr="00467DE6" w:rsidRDefault="00467DE6" w:rsidP="00467DE6">
            <w:pPr>
              <w:spacing w:after="0" w:line="240" w:lineRule="auto"/>
              <w:jc w:val="center"/>
              <w:rPr>
                <w:rFonts w:eastAsia="Times New Roman"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467DE6" w:rsidRPr="00467DE6" w:rsidRDefault="00467DE6" w:rsidP="00467DE6">
            <w:pPr>
              <w:spacing w:after="0" w:line="240" w:lineRule="auto"/>
              <w:jc w:val="center"/>
              <w:rPr>
                <w:rFonts w:eastAsia="Times New Roman" w:cs="Times New Roman"/>
                <w:color w:val="000000"/>
              </w:rPr>
            </w:pPr>
          </w:p>
        </w:tc>
      </w:tr>
      <w:tr w:rsidR="00467DE6" w:rsidRPr="00467DE6" w:rsidTr="005D68CE">
        <w:trPr>
          <w:trHeight w:val="375"/>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rPr>
                <w:rFonts w:eastAsia="Times New Roman" w:cs="Times New Roman"/>
                <w:b/>
                <w:color w:val="000000"/>
              </w:rPr>
            </w:pPr>
            <w:r w:rsidRPr="00467DE6">
              <w:rPr>
                <w:rFonts w:eastAsia="Times New Roman" w:cs="Times New Roman"/>
                <w:b/>
                <w:color w:val="000000"/>
              </w:rPr>
              <w:t>Approved</w:t>
            </w:r>
          </w:p>
        </w:tc>
        <w:tc>
          <w:tcPr>
            <w:tcW w:w="1775" w:type="dxa"/>
            <w:tcBorders>
              <w:top w:val="nil"/>
              <w:left w:val="nil"/>
              <w:bottom w:val="single" w:sz="4" w:space="0" w:color="auto"/>
              <w:right w:val="single" w:sz="4" w:space="0" w:color="auto"/>
            </w:tcBorders>
            <w:shd w:val="clear" w:color="auto" w:fill="auto"/>
            <w:vAlign w:val="bottom"/>
            <w:hideMark/>
          </w:tcPr>
          <w:p w:rsidR="00467DE6" w:rsidRPr="00467DE6" w:rsidRDefault="00467DE6" w:rsidP="00467DE6">
            <w:pPr>
              <w:spacing w:after="0" w:line="240" w:lineRule="auto"/>
              <w:jc w:val="center"/>
              <w:rPr>
                <w:rFonts w:eastAsia="Times New Roman" w:cs="Times New Roman"/>
                <w:b/>
                <w:color w:val="000000"/>
              </w:rPr>
            </w:pPr>
            <w:r w:rsidRPr="00467DE6">
              <w:rPr>
                <w:rFonts w:eastAsia="Times New Roman" w:cs="Times New Roman"/>
                <w:b/>
                <w:color w:val="000000"/>
              </w:rPr>
              <w:t>535</w:t>
            </w:r>
          </w:p>
        </w:tc>
        <w:tc>
          <w:tcPr>
            <w:tcW w:w="2430" w:type="dxa"/>
            <w:tcBorders>
              <w:top w:val="nil"/>
              <w:left w:val="nil"/>
              <w:bottom w:val="single" w:sz="4" w:space="0" w:color="auto"/>
              <w:right w:val="single" w:sz="4" w:space="0" w:color="auto"/>
            </w:tcBorders>
            <w:shd w:val="clear" w:color="auto" w:fill="auto"/>
            <w:noWrap/>
            <w:vAlign w:val="bottom"/>
            <w:hideMark/>
          </w:tcPr>
          <w:p w:rsidR="00467DE6" w:rsidRPr="00467DE6" w:rsidRDefault="00467DE6" w:rsidP="00467DE6">
            <w:pPr>
              <w:spacing w:after="0" w:line="240" w:lineRule="auto"/>
              <w:rPr>
                <w:rFonts w:eastAsia="Times New Roman" w:cs="Times New Roman"/>
                <w:color w:val="000000"/>
              </w:rPr>
            </w:pPr>
            <w:r w:rsidRPr="00467DE6">
              <w:rPr>
                <w:rFonts w:eastAsia="Times New Roman" w:cs="Times New Roman"/>
                <w:color w:val="000000"/>
              </w:rPr>
              <w:t> </w:t>
            </w:r>
          </w:p>
        </w:tc>
      </w:tr>
    </w:tbl>
    <w:p w:rsidR="00467DE6" w:rsidRDefault="00467DE6" w:rsidP="0073231F">
      <w:pPr>
        <w:rPr>
          <w:rFonts w:cs="Times New Roman"/>
          <w:b/>
        </w:rPr>
      </w:pP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Develop corresponding number of PSH units or other CB settings sufficient for individuals; For purposes of this subparagraph, these individuals include the total of (1) all CMs as of the end of the 2nd year after the finalization of the IP who are assessed as appropriate for living in a CB setting and who do not oppose moving to a CB setting, and (2) all former CMs who have already transitioned from the IMD to a CB setting or to another community setting since finalization of the IP.</w:t>
      </w:r>
    </w:p>
    <w:p w:rsidR="00C6740F" w:rsidRPr="00304737" w:rsidRDefault="009A0DA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 xml:space="preserve">Access to affordable </w:t>
      </w:r>
      <w:r w:rsidR="00826378">
        <w:t>housing</w:t>
      </w:r>
      <w:r w:rsidR="00DE3993" w:rsidRPr="00304737">
        <w:t xml:space="preserve">, supplemented by </w:t>
      </w:r>
      <w:r w:rsidRPr="00304737">
        <w:t xml:space="preserve">either </w:t>
      </w:r>
      <w:r w:rsidR="006B7504">
        <w:t>S</w:t>
      </w:r>
      <w:r w:rsidR="002324AE" w:rsidRPr="00304737">
        <w:t>tate</w:t>
      </w:r>
      <w:r w:rsidR="00964563">
        <w:t>-</w:t>
      </w:r>
      <w:r w:rsidRPr="00304737">
        <w:t>funded</w:t>
      </w:r>
      <w:r w:rsidR="002324AE" w:rsidRPr="00304737">
        <w:t xml:space="preserve"> </w:t>
      </w:r>
      <w:r w:rsidR="00DE3993" w:rsidRPr="00304737">
        <w:t>Bridge Subsidy</w:t>
      </w:r>
      <w:r w:rsidRPr="00304737">
        <w:t>,</w:t>
      </w:r>
      <w:r w:rsidR="002324AE" w:rsidRPr="00304737">
        <w:t xml:space="preserve"> HUD </w:t>
      </w:r>
      <w:r w:rsidR="00DE3993" w:rsidRPr="00304737">
        <w:t>811</w:t>
      </w:r>
      <w:r w:rsidRPr="00304737">
        <w:t>,</w:t>
      </w:r>
      <w:r w:rsidR="00DE3993" w:rsidRPr="00304737">
        <w:t xml:space="preserve"> </w:t>
      </w:r>
      <w:r w:rsidRPr="00304737">
        <w:t>I</w:t>
      </w:r>
      <w:r w:rsidR="002324AE" w:rsidRPr="00304737">
        <w:t xml:space="preserve">HDA </w:t>
      </w:r>
      <w:r w:rsidR="00DE3993" w:rsidRPr="00304737">
        <w:t>SRN units or Housing Choice Vouchers</w:t>
      </w:r>
      <w:r w:rsidRPr="00304737">
        <w:t>,</w:t>
      </w:r>
      <w:r w:rsidR="00DE3993" w:rsidRPr="00304737">
        <w:t xml:space="preserve"> </w:t>
      </w:r>
      <w:r w:rsidRPr="00304737">
        <w:t>is</w:t>
      </w:r>
      <w:r w:rsidR="00BB6743" w:rsidRPr="00304737">
        <w:t xml:space="preserve"> congruent with the number of Class Members who transition</w:t>
      </w:r>
      <w:r w:rsidR="006B7504">
        <w:t>ed</w:t>
      </w:r>
      <w:r w:rsidR="00DE3993" w:rsidRPr="00304737">
        <w:t xml:space="preserve"> to the community</w:t>
      </w:r>
      <w:r w:rsidR="00023276">
        <w:t xml:space="preserve">. </w:t>
      </w:r>
      <w:r w:rsidR="00C54EDC" w:rsidRPr="00304737">
        <w:t>B</w:t>
      </w:r>
      <w:r w:rsidR="002324AE" w:rsidRPr="00304737">
        <w:t>etween January 2, 2018 – June 30, 2018</w:t>
      </w:r>
      <w:r w:rsidR="00C54EDC" w:rsidRPr="00304737">
        <w:t>, o</w:t>
      </w:r>
      <w:r w:rsidR="002324AE" w:rsidRPr="00304737">
        <w:t>f the 19</w:t>
      </w:r>
      <w:r w:rsidR="00AA585E" w:rsidRPr="00304737">
        <w:t>4</w:t>
      </w:r>
      <w:r w:rsidR="00BB6743" w:rsidRPr="00304737">
        <w:t xml:space="preserve"> Class Members </w:t>
      </w:r>
      <w:r w:rsidR="002324AE" w:rsidRPr="00304737">
        <w:t xml:space="preserve">who </w:t>
      </w:r>
      <w:r w:rsidR="00BB6743" w:rsidRPr="00304737">
        <w:t>transitioned</w:t>
      </w:r>
      <w:r w:rsidR="006B7504">
        <w:t>,</w:t>
      </w:r>
      <w:r w:rsidR="00BB6743" w:rsidRPr="00304737">
        <w:t xml:space="preserve"> </w:t>
      </w:r>
      <w:r w:rsidR="002324AE" w:rsidRPr="00304737">
        <w:t>1</w:t>
      </w:r>
      <w:r w:rsidR="00AA585E" w:rsidRPr="00304737">
        <w:t>73</w:t>
      </w:r>
      <w:r w:rsidR="00BB6743" w:rsidRPr="00304737">
        <w:t xml:space="preserve"> units </w:t>
      </w:r>
      <w:r w:rsidR="002324AE" w:rsidRPr="00304737">
        <w:t>(89%) were</w:t>
      </w:r>
      <w:r w:rsidR="00BB6743" w:rsidRPr="00304737">
        <w:t xml:space="preserve"> </w:t>
      </w:r>
      <w:r w:rsidR="00E90880" w:rsidRPr="00304737">
        <w:t>found</w:t>
      </w:r>
      <w:r w:rsidRPr="00304737">
        <w:t xml:space="preserve"> and leased </w:t>
      </w:r>
      <w:r w:rsidR="00BB6743" w:rsidRPr="00304737">
        <w:t xml:space="preserve">through </w:t>
      </w:r>
      <w:r w:rsidRPr="00304737">
        <w:t xml:space="preserve">independent </w:t>
      </w:r>
      <w:r w:rsidR="00BB6743" w:rsidRPr="00304737">
        <w:t xml:space="preserve">housing searches </w:t>
      </w:r>
      <w:r w:rsidRPr="00304737">
        <w:t xml:space="preserve">initiated by the CMHC </w:t>
      </w:r>
      <w:r w:rsidR="00BB6743" w:rsidRPr="00304737">
        <w:t>with the Class Member</w:t>
      </w:r>
      <w:r w:rsidR="00023276">
        <w:t xml:space="preserve">. </w:t>
      </w:r>
      <w:r w:rsidR="00DE3993" w:rsidRPr="00304737">
        <w:t xml:space="preserve">This </w:t>
      </w:r>
      <w:r w:rsidR="002324AE" w:rsidRPr="00304737">
        <w:t xml:space="preserve">number </w:t>
      </w:r>
      <w:r w:rsidR="00DE3993" w:rsidRPr="00304737">
        <w:t xml:space="preserve">excludes the 21 Class </w:t>
      </w:r>
      <w:r w:rsidR="002324AE" w:rsidRPr="00304737">
        <w:t>M</w:t>
      </w:r>
      <w:r w:rsidR="00DE3993" w:rsidRPr="00304737">
        <w:t xml:space="preserve">embers </w:t>
      </w:r>
      <w:r w:rsidR="002324AE" w:rsidRPr="00304737">
        <w:t xml:space="preserve">(11%) </w:t>
      </w:r>
      <w:r w:rsidR="00DE3993" w:rsidRPr="00304737">
        <w:t xml:space="preserve">who </w:t>
      </w:r>
      <w:r w:rsidR="002324AE" w:rsidRPr="00304737">
        <w:t xml:space="preserve">transitioned to the community but </w:t>
      </w:r>
      <w:r w:rsidR="006743C2">
        <w:t xml:space="preserve">were </w:t>
      </w:r>
      <w:r w:rsidR="00DE3993" w:rsidRPr="00304737">
        <w:t>referred</w:t>
      </w:r>
      <w:r w:rsidR="00C54EDC" w:rsidRPr="00304737">
        <w:t xml:space="preserve"> and admitted</w:t>
      </w:r>
      <w:r w:rsidR="00DE3993" w:rsidRPr="00304737">
        <w:t xml:space="preserve"> to a Supervised Residential setting</w:t>
      </w:r>
      <w:r w:rsidR="006B7504">
        <w:t>.</w:t>
      </w:r>
      <w:r w:rsidR="00DE3993" w:rsidRPr="00304737">
        <w:t xml:space="preserve"> </w:t>
      </w:r>
      <w:r w:rsidR="00BB6743" w:rsidRPr="00304737">
        <w:t xml:space="preserv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Developed corresponding number of PSH units or other CB settings sufficient for individuals.</w:t>
      </w:r>
    </w:p>
    <w:p w:rsidR="00C6740F" w:rsidRPr="00304737" w:rsidRDefault="009039A2"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Please see above response for re</w:t>
      </w:r>
      <w:r w:rsidR="00361380" w:rsidRPr="00304737">
        <w:t>ferenced</w:t>
      </w:r>
      <w:r w:rsidR="00C217A5" w:rsidRPr="00304737">
        <w:t xml:space="preserve"> – </w:t>
      </w:r>
      <w:r w:rsidR="00C217A5" w:rsidRPr="00304737">
        <w:rPr>
          <w:b/>
        </w:rPr>
        <w:t>Community Based Services and Housing Expansion</w:t>
      </w:r>
      <w:r w:rsidRPr="00304737">
        <w:t>.</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CMs who are assessed as appropriate for living in CB settings who do not oppose transition to CB setting and whose SPs provide for placement in CB settings shall be offered opportunity to move to those settings and receive appropriate services consistent with the SP within 120 days of the SP.</w:t>
      </w:r>
    </w:p>
    <w:p w:rsidR="005D68CE" w:rsidRPr="00304737" w:rsidRDefault="00361380"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bookmarkStart w:id="0" w:name="_Hlk520288867"/>
      <w:r w:rsidRPr="00304737">
        <w:t xml:space="preserve">During this reporting period </w:t>
      </w:r>
      <w:r w:rsidR="007123DB" w:rsidRPr="00304737">
        <w:t>194</w:t>
      </w:r>
      <w:r w:rsidR="00081315" w:rsidRPr="00304737">
        <w:t xml:space="preserve"> (N) Class Members transitioned/lease signed from SMRHFs to community</w:t>
      </w:r>
      <w:r w:rsidR="00B45671">
        <w:t xml:space="preserve">-based </w:t>
      </w:r>
      <w:r w:rsidR="007123DB" w:rsidRPr="00304737">
        <w:t>settings</w:t>
      </w:r>
      <w:r w:rsidR="00081315" w:rsidRPr="00304737">
        <w:t>.  Of th</w:t>
      </w:r>
      <w:r w:rsidR="006743C2">
        <w:t>ese</w:t>
      </w:r>
      <w:r w:rsidR="00081315" w:rsidRPr="00304737">
        <w:t>,</w:t>
      </w:r>
      <w:r w:rsidR="004B4AC3" w:rsidRPr="00304737">
        <w:t xml:space="preserve"> 95</w:t>
      </w:r>
      <w:r w:rsidR="00081315" w:rsidRPr="00304737">
        <w:t xml:space="preserve"> Class Members (</w:t>
      </w:r>
      <w:r w:rsidR="005D68CE" w:rsidRPr="00304737">
        <w:t>49</w:t>
      </w:r>
      <w:r w:rsidR="00081315" w:rsidRPr="00304737">
        <w:t xml:space="preserve">%) transitioned within 120 days of assignment to a </w:t>
      </w:r>
      <w:r w:rsidR="006743C2">
        <w:t>CMHC</w:t>
      </w:r>
      <w:r w:rsidR="00081315" w:rsidRPr="00304737">
        <w:t xml:space="preserve">.   </w:t>
      </w:r>
      <w:r w:rsidR="005D68CE" w:rsidRPr="00304737">
        <w:t xml:space="preserve">The below insert shows the breakdown of days </w:t>
      </w:r>
      <w:r w:rsidR="00E90880" w:rsidRPr="00304737">
        <w:t xml:space="preserve">from agency assignment </w:t>
      </w:r>
      <w:r w:rsidR="005D68CE" w:rsidRPr="00304737">
        <w:t xml:space="preserve">until </w:t>
      </w:r>
      <w:r w:rsidR="00E90880" w:rsidRPr="00304737">
        <w:t xml:space="preserve">community </w:t>
      </w:r>
      <w:r w:rsidR="005D68CE" w:rsidRPr="00304737">
        <w:t>transition.   The r</w:t>
      </w:r>
      <w:r w:rsidR="008307E0" w:rsidRPr="00304737">
        <w:t>easons for transition delays vary according to individualized challenges</w:t>
      </w:r>
      <w:r w:rsidR="00E90880" w:rsidRPr="00304737">
        <w:t xml:space="preserve"> of the respective Class Members</w:t>
      </w:r>
      <w:r w:rsidR="008307E0" w:rsidRPr="00304737">
        <w:t xml:space="preserve">, i.e., </w:t>
      </w:r>
      <w:r w:rsidR="005D68CE" w:rsidRPr="00304737">
        <w:t xml:space="preserve">poor </w:t>
      </w:r>
      <w:r w:rsidR="008307E0" w:rsidRPr="00304737">
        <w:t xml:space="preserve">credit history, eviction history, criminal history, </w:t>
      </w:r>
      <w:r w:rsidR="00BF7935" w:rsidRPr="00304737">
        <w:t xml:space="preserve">medical </w:t>
      </w:r>
      <w:r w:rsidR="00E90880" w:rsidRPr="00304737">
        <w:t xml:space="preserve">complications </w:t>
      </w:r>
      <w:r w:rsidR="00BF7935" w:rsidRPr="00304737">
        <w:t>and</w:t>
      </w:r>
      <w:r w:rsidR="00E90880" w:rsidRPr="00304737">
        <w:t>/or</w:t>
      </w:r>
      <w:r w:rsidR="00BF7935" w:rsidRPr="00304737">
        <w:t xml:space="preserve"> medication issues,</w:t>
      </w:r>
      <w:r w:rsidR="005D68CE" w:rsidRPr="00304737">
        <w:t xml:space="preserve"> indeci</w:t>
      </w:r>
      <w:r w:rsidR="00F6140E" w:rsidRPr="00304737">
        <w:t>si</w:t>
      </w:r>
      <w:r w:rsidR="005D68CE" w:rsidRPr="00304737">
        <w:t>veness</w:t>
      </w:r>
      <w:r w:rsidR="00F6140E" w:rsidRPr="00304737">
        <w:t>, ambivalence,</w:t>
      </w:r>
      <w:r w:rsidR="005D68CE" w:rsidRPr="00304737">
        <w:t xml:space="preserve"> </w:t>
      </w:r>
      <w:r w:rsidR="00BF7935" w:rsidRPr="00304737">
        <w:t>etc.</w:t>
      </w:r>
      <w:r w:rsidR="003D0FB0" w:rsidRPr="00304737">
        <w:t xml:space="preserve">  </w:t>
      </w:r>
    </w:p>
    <w:tbl>
      <w:tblPr>
        <w:tblStyle w:val="TableGrid"/>
        <w:tblW w:w="0" w:type="auto"/>
        <w:tblInd w:w="3415" w:type="dxa"/>
        <w:tblLook w:val="04A0" w:firstRow="1" w:lastRow="0" w:firstColumn="1" w:lastColumn="0" w:noHBand="0" w:noVBand="1"/>
      </w:tblPr>
      <w:tblGrid>
        <w:gridCol w:w="2880"/>
        <w:gridCol w:w="2520"/>
        <w:gridCol w:w="1620"/>
      </w:tblGrid>
      <w:tr w:rsidR="005D68CE" w:rsidRPr="00F6140E" w:rsidTr="005D68CE">
        <w:tc>
          <w:tcPr>
            <w:tcW w:w="2880" w:type="dxa"/>
          </w:tcPr>
          <w:p w:rsidR="005D68CE" w:rsidRPr="00F6140E" w:rsidRDefault="005D68CE" w:rsidP="005D68CE">
            <w:pPr>
              <w:jc w:val="center"/>
              <w:rPr>
                <w:sz w:val="24"/>
                <w:szCs w:val="24"/>
              </w:rPr>
            </w:pPr>
            <w:r w:rsidRPr="00F6140E">
              <w:rPr>
                <w:sz w:val="24"/>
                <w:szCs w:val="24"/>
              </w:rPr>
              <w:t>Transition Days</w:t>
            </w:r>
          </w:p>
        </w:tc>
        <w:tc>
          <w:tcPr>
            <w:tcW w:w="2520" w:type="dxa"/>
          </w:tcPr>
          <w:p w:rsidR="005D68CE" w:rsidRPr="00F6140E" w:rsidRDefault="005D68CE" w:rsidP="005D68CE">
            <w:pPr>
              <w:jc w:val="center"/>
              <w:rPr>
                <w:sz w:val="24"/>
                <w:szCs w:val="24"/>
              </w:rPr>
            </w:pPr>
            <w:r w:rsidRPr="00F6140E">
              <w:rPr>
                <w:sz w:val="24"/>
                <w:szCs w:val="24"/>
              </w:rPr>
              <w:t>CMs transitioned (n=194)</w:t>
            </w:r>
          </w:p>
        </w:tc>
        <w:tc>
          <w:tcPr>
            <w:tcW w:w="1620" w:type="dxa"/>
          </w:tcPr>
          <w:p w:rsidR="005D68CE" w:rsidRPr="00F6140E" w:rsidRDefault="005D68CE" w:rsidP="005D68CE">
            <w:pPr>
              <w:jc w:val="center"/>
              <w:rPr>
                <w:sz w:val="24"/>
                <w:szCs w:val="24"/>
              </w:rPr>
            </w:pPr>
            <w:r w:rsidRPr="00F6140E">
              <w:rPr>
                <w:sz w:val="24"/>
                <w:szCs w:val="24"/>
              </w:rPr>
              <w:t>Percentage</w:t>
            </w:r>
          </w:p>
        </w:tc>
      </w:tr>
      <w:tr w:rsidR="005D68CE" w:rsidRPr="00F6140E" w:rsidTr="005D68CE">
        <w:tc>
          <w:tcPr>
            <w:tcW w:w="2880" w:type="dxa"/>
          </w:tcPr>
          <w:p w:rsidR="005D68CE" w:rsidRPr="00F6140E" w:rsidRDefault="005D68CE" w:rsidP="005D68CE">
            <w:pPr>
              <w:jc w:val="center"/>
              <w:rPr>
                <w:sz w:val="24"/>
                <w:szCs w:val="24"/>
              </w:rPr>
            </w:pPr>
            <w:r w:rsidRPr="00F6140E">
              <w:rPr>
                <w:sz w:val="24"/>
                <w:szCs w:val="24"/>
              </w:rPr>
              <w:t>0 - 30</w:t>
            </w:r>
          </w:p>
        </w:tc>
        <w:tc>
          <w:tcPr>
            <w:tcW w:w="2520" w:type="dxa"/>
          </w:tcPr>
          <w:p w:rsidR="005D68CE" w:rsidRPr="00F6140E" w:rsidRDefault="005D68CE" w:rsidP="005D68CE">
            <w:pPr>
              <w:jc w:val="center"/>
              <w:rPr>
                <w:sz w:val="24"/>
                <w:szCs w:val="24"/>
              </w:rPr>
            </w:pPr>
            <w:r w:rsidRPr="00F6140E">
              <w:rPr>
                <w:sz w:val="24"/>
                <w:szCs w:val="24"/>
              </w:rPr>
              <w:t>26</w:t>
            </w:r>
          </w:p>
        </w:tc>
        <w:tc>
          <w:tcPr>
            <w:tcW w:w="1620" w:type="dxa"/>
          </w:tcPr>
          <w:p w:rsidR="005D68CE" w:rsidRPr="00F6140E" w:rsidRDefault="005D68CE" w:rsidP="005D68CE">
            <w:pPr>
              <w:jc w:val="center"/>
              <w:rPr>
                <w:sz w:val="24"/>
                <w:szCs w:val="24"/>
              </w:rPr>
            </w:pPr>
            <w:r w:rsidRPr="00F6140E">
              <w:rPr>
                <w:sz w:val="24"/>
                <w:szCs w:val="24"/>
              </w:rPr>
              <w:t>13%</w:t>
            </w:r>
          </w:p>
        </w:tc>
      </w:tr>
      <w:tr w:rsidR="005D68CE" w:rsidRPr="00F6140E" w:rsidTr="005D68CE">
        <w:tc>
          <w:tcPr>
            <w:tcW w:w="2880" w:type="dxa"/>
          </w:tcPr>
          <w:p w:rsidR="005D68CE" w:rsidRPr="00F6140E" w:rsidRDefault="005D68CE" w:rsidP="005D68CE">
            <w:pPr>
              <w:jc w:val="center"/>
              <w:rPr>
                <w:sz w:val="24"/>
                <w:szCs w:val="24"/>
              </w:rPr>
            </w:pPr>
            <w:r w:rsidRPr="00F6140E">
              <w:rPr>
                <w:sz w:val="24"/>
                <w:szCs w:val="24"/>
              </w:rPr>
              <w:t>31 - 90</w:t>
            </w:r>
          </w:p>
        </w:tc>
        <w:tc>
          <w:tcPr>
            <w:tcW w:w="2520" w:type="dxa"/>
          </w:tcPr>
          <w:p w:rsidR="005D68CE" w:rsidRPr="00F6140E" w:rsidRDefault="005D68CE" w:rsidP="005D68CE">
            <w:pPr>
              <w:jc w:val="center"/>
              <w:rPr>
                <w:sz w:val="24"/>
                <w:szCs w:val="24"/>
              </w:rPr>
            </w:pPr>
            <w:r w:rsidRPr="00F6140E">
              <w:rPr>
                <w:sz w:val="24"/>
                <w:szCs w:val="24"/>
              </w:rPr>
              <w:t>53</w:t>
            </w:r>
          </w:p>
        </w:tc>
        <w:tc>
          <w:tcPr>
            <w:tcW w:w="1620" w:type="dxa"/>
          </w:tcPr>
          <w:p w:rsidR="005D68CE" w:rsidRPr="00F6140E" w:rsidRDefault="005D68CE" w:rsidP="005D68CE">
            <w:pPr>
              <w:jc w:val="center"/>
              <w:rPr>
                <w:sz w:val="24"/>
                <w:szCs w:val="24"/>
              </w:rPr>
            </w:pPr>
            <w:r w:rsidRPr="00F6140E">
              <w:rPr>
                <w:sz w:val="24"/>
                <w:szCs w:val="24"/>
              </w:rPr>
              <w:t>27%</w:t>
            </w:r>
          </w:p>
        </w:tc>
      </w:tr>
      <w:tr w:rsidR="005D68CE" w:rsidRPr="00F6140E" w:rsidTr="005D68CE">
        <w:tc>
          <w:tcPr>
            <w:tcW w:w="2880" w:type="dxa"/>
          </w:tcPr>
          <w:p w:rsidR="005D68CE" w:rsidRPr="00F6140E" w:rsidRDefault="005D68CE" w:rsidP="005D68CE">
            <w:pPr>
              <w:jc w:val="center"/>
              <w:rPr>
                <w:sz w:val="24"/>
                <w:szCs w:val="24"/>
              </w:rPr>
            </w:pPr>
            <w:r w:rsidRPr="00F6140E">
              <w:rPr>
                <w:sz w:val="24"/>
                <w:szCs w:val="24"/>
              </w:rPr>
              <w:t>91 – 120</w:t>
            </w:r>
          </w:p>
        </w:tc>
        <w:tc>
          <w:tcPr>
            <w:tcW w:w="2520" w:type="dxa"/>
          </w:tcPr>
          <w:p w:rsidR="005D68CE" w:rsidRPr="00F6140E" w:rsidRDefault="005D68CE" w:rsidP="005D68CE">
            <w:pPr>
              <w:jc w:val="center"/>
              <w:rPr>
                <w:sz w:val="24"/>
                <w:szCs w:val="24"/>
              </w:rPr>
            </w:pPr>
            <w:r w:rsidRPr="00F6140E">
              <w:rPr>
                <w:sz w:val="24"/>
                <w:szCs w:val="24"/>
              </w:rPr>
              <w:t>16</w:t>
            </w:r>
          </w:p>
        </w:tc>
        <w:tc>
          <w:tcPr>
            <w:tcW w:w="1620" w:type="dxa"/>
          </w:tcPr>
          <w:p w:rsidR="005D68CE" w:rsidRPr="00F6140E" w:rsidRDefault="005D68CE" w:rsidP="005D68CE">
            <w:pPr>
              <w:jc w:val="center"/>
              <w:rPr>
                <w:sz w:val="24"/>
                <w:szCs w:val="24"/>
              </w:rPr>
            </w:pPr>
            <w:r w:rsidRPr="00F6140E">
              <w:rPr>
                <w:sz w:val="24"/>
                <w:szCs w:val="24"/>
              </w:rPr>
              <w:t>8%</w:t>
            </w:r>
          </w:p>
        </w:tc>
      </w:tr>
      <w:tr w:rsidR="005D68CE" w:rsidRPr="00F6140E" w:rsidTr="005D68CE">
        <w:tc>
          <w:tcPr>
            <w:tcW w:w="2880" w:type="dxa"/>
          </w:tcPr>
          <w:p w:rsidR="005D68CE" w:rsidRPr="00F6140E" w:rsidRDefault="005D68CE" w:rsidP="005D68CE">
            <w:pPr>
              <w:jc w:val="center"/>
              <w:rPr>
                <w:sz w:val="24"/>
                <w:szCs w:val="24"/>
              </w:rPr>
            </w:pPr>
            <w:r w:rsidRPr="00F6140E">
              <w:rPr>
                <w:sz w:val="24"/>
                <w:szCs w:val="24"/>
              </w:rPr>
              <w:t>121 - 180</w:t>
            </w:r>
          </w:p>
        </w:tc>
        <w:tc>
          <w:tcPr>
            <w:tcW w:w="2520" w:type="dxa"/>
          </w:tcPr>
          <w:p w:rsidR="005D68CE" w:rsidRPr="00F6140E" w:rsidRDefault="005D68CE" w:rsidP="005D68CE">
            <w:pPr>
              <w:jc w:val="center"/>
              <w:rPr>
                <w:sz w:val="24"/>
                <w:szCs w:val="24"/>
              </w:rPr>
            </w:pPr>
            <w:r w:rsidRPr="00F6140E">
              <w:rPr>
                <w:sz w:val="24"/>
                <w:szCs w:val="24"/>
              </w:rPr>
              <w:t>36</w:t>
            </w:r>
          </w:p>
        </w:tc>
        <w:tc>
          <w:tcPr>
            <w:tcW w:w="1620" w:type="dxa"/>
          </w:tcPr>
          <w:p w:rsidR="005D68CE" w:rsidRPr="00F6140E" w:rsidRDefault="005D68CE" w:rsidP="005D68CE">
            <w:pPr>
              <w:jc w:val="center"/>
              <w:rPr>
                <w:sz w:val="24"/>
                <w:szCs w:val="24"/>
              </w:rPr>
            </w:pPr>
            <w:r w:rsidRPr="00F6140E">
              <w:rPr>
                <w:sz w:val="24"/>
                <w:szCs w:val="24"/>
              </w:rPr>
              <w:t>19%</w:t>
            </w:r>
          </w:p>
        </w:tc>
      </w:tr>
      <w:tr w:rsidR="005D68CE" w:rsidRPr="00F6140E" w:rsidTr="005D68CE">
        <w:tc>
          <w:tcPr>
            <w:tcW w:w="2880" w:type="dxa"/>
          </w:tcPr>
          <w:p w:rsidR="005D68CE" w:rsidRPr="00F6140E" w:rsidRDefault="005D68CE" w:rsidP="005D68CE">
            <w:pPr>
              <w:jc w:val="center"/>
              <w:rPr>
                <w:sz w:val="24"/>
                <w:szCs w:val="24"/>
              </w:rPr>
            </w:pPr>
            <w:r w:rsidRPr="00F6140E">
              <w:rPr>
                <w:sz w:val="24"/>
                <w:szCs w:val="24"/>
              </w:rPr>
              <w:t>180 +</w:t>
            </w:r>
          </w:p>
        </w:tc>
        <w:tc>
          <w:tcPr>
            <w:tcW w:w="2520" w:type="dxa"/>
          </w:tcPr>
          <w:p w:rsidR="005D68CE" w:rsidRPr="00F6140E" w:rsidRDefault="005D68CE" w:rsidP="005D68CE">
            <w:pPr>
              <w:jc w:val="center"/>
              <w:rPr>
                <w:sz w:val="24"/>
                <w:szCs w:val="24"/>
              </w:rPr>
            </w:pPr>
            <w:r w:rsidRPr="00F6140E">
              <w:rPr>
                <w:sz w:val="24"/>
                <w:szCs w:val="24"/>
              </w:rPr>
              <w:t>63</w:t>
            </w:r>
          </w:p>
        </w:tc>
        <w:tc>
          <w:tcPr>
            <w:tcW w:w="1620" w:type="dxa"/>
          </w:tcPr>
          <w:p w:rsidR="005D68CE" w:rsidRPr="00F6140E" w:rsidRDefault="005D68CE" w:rsidP="005D68CE">
            <w:pPr>
              <w:jc w:val="center"/>
              <w:rPr>
                <w:sz w:val="24"/>
                <w:szCs w:val="24"/>
              </w:rPr>
            </w:pPr>
            <w:r w:rsidRPr="00F6140E">
              <w:rPr>
                <w:sz w:val="24"/>
                <w:szCs w:val="24"/>
              </w:rPr>
              <w:t>32%</w:t>
            </w:r>
          </w:p>
        </w:tc>
      </w:tr>
    </w:tbl>
    <w:bookmarkEnd w:id="0"/>
    <w:p w:rsidR="00C6740F" w:rsidRPr="00C6740F" w:rsidRDefault="00C6740F" w:rsidP="00F6140E">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PSH will be considered the most integrated CB setting appropriate for CMs except that, (1) for any CMs (</w:t>
      </w:r>
      <w:proofErr w:type="spellStart"/>
      <w:r w:rsidRPr="00C6740F">
        <w:rPr>
          <w:i/>
          <w:sz w:val="24"/>
          <w:szCs w:val="24"/>
        </w:rPr>
        <w:t>i</w:t>
      </w:r>
      <w:proofErr w:type="spellEnd"/>
      <w:r w:rsidRPr="00C6740F">
        <w:rPr>
          <w:i/>
          <w:sz w:val="24"/>
          <w:szCs w:val="24"/>
        </w:rPr>
        <w:t>) who have been determined by a physician not affiliated with a NF to have a condition such as severe dementia or other severe cognitive impairments requiring such a high level of staffing to assist with activities of daily living or self-care management that they cannot effectively be served in PSH or Private Residence, (ii) who have medical needs requiring such a high level of skilled nursing care that they cannot effectively be served in PSH or a Private Residence, or (iii) who present an imminent danger to themselves or others, the evaluator will determine the most integrated setting appropriate, which may be PSH or another setting, and (2) nothing in this paragraph shall prevent CMs who can and wish to live with family or friends or in another independent housing that is not connected with a service provider form doing so. Those CMs not transitioning from IMDs into PSH will have ongoing reassessments with treatment objectives to prepare them for subsequent transition to the most integrated setting appropriate, including PSH.</w:t>
      </w:r>
    </w:p>
    <w:p w:rsidR="00C6740F" w:rsidRPr="00304737" w:rsidRDefault="00CC340D"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t>Class Members who do not transition from the SMHRF/IMDs to the community have, at a minimum, an annual re-assessment conducted by the Resident Review entity or may request a</w:t>
      </w:r>
      <w:r w:rsidR="00E805A2">
        <w:t>n assessment/</w:t>
      </w:r>
      <w:r>
        <w:t>re-assessment up to three times within a 9</w:t>
      </w:r>
      <w:r w:rsidR="009A1314">
        <w:t>-</w:t>
      </w:r>
      <w:r>
        <w:t>month period (a maximum total of 4 assessments within twelve months).  These are comprehensive assessments to a</w:t>
      </w:r>
      <w:r w:rsidR="00E805A2">
        <w:t>scertain</w:t>
      </w:r>
      <w:r>
        <w:t xml:space="preserve"> strengths, desires and interests, skill deficits, clinical dynamics, risk indicators (behavioral, social and medical) and service and behavioral needs. The assessments and reassessments are filed and logged (by date) in the Williams data base and O drive</w:t>
      </w:r>
      <w:r w:rsidR="00E805A2">
        <w:t xml:space="preserve">.  </w:t>
      </w:r>
      <w:r w:rsidR="00E87C1D" w:rsidRPr="00304737">
        <w:t>Of the 19</w:t>
      </w:r>
      <w:r w:rsidR="00F6140E" w:rsidRPr="00304737">
        <w:t>4</w:t>
      </w:r>
      <w:r w:rsidR="00E87C1D" w:rsidRPr="00304737">
        <w:t xml:space="preserve"> Class Members who transitioned this reporting period, 1</w:t>
      </w:r>
      <w:r w:rsidR="00F6140E" w:rsidRPr="00304737">
        <w:t>73</w:t>
      </w:r>
      <w:r w:rsidR="00E87C1D" w:rsidRPr="00304737">
        <w:t xml:space="preserve"> Class Member</w:t>
      </w:r>
      <w:r w:rsidR="002B1609" w:rsidRPr="00304737">
        <w:t>s</w:t>
      </w:r>
      <w:r w:rsidR="00E87C1D" w:rsidRPr="00304737">
        <w:t xml:space="preserve"> (89%) transitioned into a lease-held apartment.   The remaining 21 Class Members transitioned to a Supervised Residential setting. </w:t>
      </w:r>
      <w:r w:rsidR="00F6140E" w:rsidRPr="00304737">
        <w:t>Please see above reference regarding Resident Review reassessments.</w:t>
      </w:r>
      <w:r w:rsidR="009E133F">
        <w:t xml:space="preserve"> </w:t>
      </w:r>
      <w:r w:rsidR="00C4233C">
        <w:t xml:space="preserve">Class Members </w:t>
      </w:r>
      <w:r w:rsidR="009E133F">
        <w:t>that transitioned to a Supervised Resident</w:t>
      </w:r>
      <w:r w:rsidR="00212591">
        <w:t>ial</w:t>
      </w:r>
      <w:r w:rsidR="009E133F">
        <w:t xml:space="preserve"> </w:t>
      </w:r>
      <w:r w:rsidR="00C4233C">
        <w:t>s</w:t>
      </w:r>
      <w:r w:rsidR="009E133F">
        <w:t>etting did not meet either of the three conditions identified above.</w:t>
      </w:r>
      <w:r w:rsidR="00C4233C">
        <w:t xml:space="preserve">  The level of</w:t>
      </w:r>
      <w:r w:rsidR="00631391">
        <w:t xml:space="preserve"> comfort</w:t>
      </w:r>
      <w:r w:rsidR="00C4233C">
        <w:t xml:space="preserve"> care</w:t>
      </w:r>
      <w:r w:rsidR="00631391">
        <w:t xml:space="preserve"> or specialized care</w:t>
      </w:r>
      <w:r w:rsidR="00C4233C">
        <w:t xml:space="preserve"> needed for one who has severe dementia or severe cognitive impairments is not provided in an outpatient community</w:t>
      </w:r>
      <w:r w:rsidR="00631391">
        <w:t>-based</w:t>
      </w:r>
      <w:r w:rsidR="00C4233C">
        <w:t xml:space="preserve"> mental health setting.  Those who have medical needs requiring a high level of skilled nursing care would not </w:t>
      </w:r>
      <w:r w:rsidR="00631391">
        <w:t xml:space="preserve">be </w:t>
      </w:r>
      <w:r w:rsidR="00C4233C">
        <w:t>best served in setting</w:t>
      </w:r>
      <w:r w:rsidR="00631391">
        <w:t xml:space="preserve"> that does not have staff with the right qualifications and certifications of licensed medical professionals</w:t>
      </w:r>
      <w:r w:rsidR="00C4233C">
        <w:t xml:space="preserve">.  One who is in imminent danger to self or others due to </w:t>
      </w:r>
      <w:r w:rsidR="00631391">
        <w:t xml:space="preserve">the presence of </w:t>
      </w:r>
      <w:r w:rsidR="00C4233C">
        <w:t>a psychiatric decompensation/crisis episode meets clinical criteria for inpatient psychiatric hospitalization.   The 21 Class Members referred</w:t>
      </w:r>
      <w:r w:rsidR="00F674C9">
        <w:t xml:space="preserve"> for Supervised Residential settings,</w:t>
      </w:r>
      <w:r w:rsidR="00C4233C">
        <w:t xml:space="preserve"> during this reporting period and the </w:t>
      </w:r>
      <w:r w:rsidR="00F674C9">
        <w:t>17</w:t>
      </w:r>
      <w:r w:rsidR="00C4233C">
        <w:t xml:space="preserve"> referred in the first half of FY18 are Class Members who were assessed and recommended via the Resident Review evaluation process </w:t>
      </w:r>
      <w:r w:rsidR="00F674C9">
        <w:t xml:space="preserve">as needing </w:t>
      </w:r>
      <w:r w:rsidR="00C4233C">
        <w:t>a</w:t>
      </w:r>
      <w:r w:rsidR="00F674C9">
        <w:t xml:space="preserve"> </w:t>
      </w:r>
      <w:r w:rsidR="00BA72CE">
        <w:t>24-hour</w:t>
      </w:r>
      <w:r w:rsidR="00F674C9">
        <w:t xml:space="preserve"> </w:t>
      </w:r>
      <w:r w:rsidR="00C8127B">
        <w:t xml:space="preserve">staff </w:t>
      </w:r>
      <w:r w:rsidR="00C4233C">
        <w:t xml:space="preserve">supervised setting as a transition option and/or Class Members determined via the engagement </w:t>
      </w:r>
      <w:r w:rsidR="00F674C9">
        <w:t>process by the CMHC</w:t>
      </w:r>
      <w:r w:rsidR="00C4233C">
        <w:t xml:space="preserve"> as needing a greater level of </w:t>
      </w:r>
      <w:r w:rsidR="00C8127B">
        <w:t xml:space="preserve">on-site </w:t>
      </w:r>
      <w:r w:rsidR="00C4233C">
        <w:t>support as a stepping stone towards independent living.</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 xml:space="preserve">CMs will have access to appropriate CB services including but not limited to reasonable measures to ensure their housing remains available in the event they are temporarily placed in a hospital or other </w:t>
      </w:r>
      <w:proofErr w:type="spellStart"/>
      <w:r w:rsidRPr="00C6740F">
        <w:rPr>
          <w:i/>
          <w:sz w:val="24"/>
          <w:szCs w:val="24"/>
        </w:rPr>
        <w:t>tx</w:t>
      </w:r>
      <w:proofErr w:type="spellEnd"/>
      <w:r w:rsidRPr="00C6740F">
        <w:rPr>
          <w:i/>
          <w:sz w:val="24"/>
          <w:szCs w:val="24"/>
        </w:rPr>
        <w:t xml:space="preserve"> facility.</w:t>
      </w:r>
    </w:p>
    <w:p w:rsidR="00C6740F" w:rsidRPr="00304737" w:rsidRDefault="00597D01"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 xml:space="preserve">During this reporting period, </w:t>
      </w:r>
      <w:r w:rsidR="00FA1300" w:rsidRPr="00304737">
        <w:t>35 Class Members temporarily left their</w:t>
      </w:r>
      <w:r w:rsidR="00F6140E" w:rsidRPr="00304737">
        <w:t xml:space="preserve"> leased-held units</w:t>
      </w:r>
      <w:r w:rsidR="00FA1300" w:rsidRPr="00304737">
        <w:t xml:space="preserve"> for </w:t>
      </w:r>
      <w:r w:rsidR="00F6140E" w:rsidRPr="00304737">
        <w:t xml:space="preserve">an extended duration, not to exceed </w:t>
      </w:r>
      <w:r w:rsidR="00FA1300" w:rsidRPr="00304737">
        <w:t>three months (90 days)</w:t>
      </w:r>
      <w:r w:rsidR="002B1609" w:rsidRPr="00304737">
        <w:t>,</w:t>
      </w:r>
      <w:r w:rsidR="00FA1300" w:rsidRPr="00304737">
        <w:t xml:space="preserve"> due to either a hospitalization, </w:t>
      </w:r>
      <w:r w:rsidR="00F6140E" w:rsidRPr="00304737">
        <w:t xml:space="preserve">a </w:t>
      </w:r>
      <w:r w:rsidR="00FA1300" w:rsidRPr="00304737">
        <w:t xml:space="preserve">short-term return to Long Term Care or </w:t>
      </w:r>
      <w:r w:rsidR="00F6140E" w:rsidRPr="00304737">
        <w:t xml:space="preserve">an </w:t>
      </w:r>
      <w:r w:rsidR="00FA1300" w:rsidRPr="00304737">
        <w:t>incarceration.  DMH authorize</w:t>
      </w:r>
      <w:r w:rsidR="00F86E10" w:rsidRPr="00304737">
        <w:t>s</w:t>
      </w:r>
      <w:r w:rsidR="00FA1300" w:rsidRPr="00304737">
        <w:t xml:space="preserve"> the Subsidy Administration entities to cover three months of full rent</w:t>
      </w:r>
      <w:r w:rsidR="00F6140E" w:rsidRPr="00304737">
        <w:t xml:space="preserve"> (100%) in the event of one of the identified extenuating circumstances</w:t>
      </w:r>
      <w:r w:rsidR="00FA1300" w:rsidRPr="00304737">
        <w:t xml:space="preserve">, </w:t>
      </w:r>
      <w:r w:rsidR="00F86E10" w:rsidRPr="00304737">
        <w:t xml:space="preserve">upon notification </w:t>
      </w:r>
      <w:r w:rsidR="00F6140E" w:rsidRPr="00304737">
        <w:t xml:space="preserve">by the CMHC </w:t>
      </w:r>
      <w:r w:rsidR="00F86E10" w:rsidRPr="00304737">
        <w:t xml:space="preserve">of </w:t>
      </w:r>
      <w:r w:rsidR="00F6140E" w:rsidRPr="00304737">
        <w:t>the</w:t>
      </w:r>
      <w:r w:rsidR="00F86E10" w:rsidRPr="00304737">
        <w:t xml:space="preserve"> absence</w:t>
      </w:r>
      <w:r w:rsidR="00FA1300" w:rsidRPr="00304737">
        <w:t xml:space="preserve">.   </w:t>
      </w:r>
      <w:r w:rsidR="00F6140E" w:rsidRPr="00304737">
        <w:t xml:space="preserve">During this reporting period, </w:t>
      </w:r>
      <w:r w:rsidRPr="00304737">
        <w:t xml:space="preserve">Catholic Charities </w:t>
      </w:r>
      <w:r w:rsidR="00FA1300" w:rsidRPr="00304737">
        <w:t xml:space="preserve">covered 100% rent for 33 Class Members (94%) </w:t>
      </w:r>
      <w:r w:rsidRPr="00304737">
        <w:t xml:space="preserve">and the Illinois Association of Community Action Agencies (IACCA) </w:t>
      </w:r>
      <w:r w:rsidR="00FA1300" w:rsidRPr="00304737">
        <w:t xml:space="preserve">covered 100% rent for 2 Class Members (6%).  DMH </w:t>
      </w:r>
      <w:r w:rsidR="00F6140E" w:rsidRPr="00304737">
        <w:t>has</w:t>
      </w:r>
      <w:r w:rsidR="002B1609" w:rsidRPr="00304737">
        <w:t xml:space="preserve"> </w:t>
      </w:r>
      <w:r w:rsidR="00F6140E" w:rsidRPr="00304737">
        <w:t>sole discretion to</w:t>
      </w:r>
      <w:r w:rsidR="00FA1300" w:rsidRPr="00304737">
        <w:t xml:space="preserve"> authorize a </w:t>
      </w:r>
      <w:r w:rsidR="003459B2" w:rsidRPr="00304737">
        <w:t>short-term</w:t>
      </w:r>
      <w:r w:rsidR="00B45671">
        <w:t xml:space="preserve"> </w:t>
      </w:r>
      <w:r w:rsidR="00FA1300" w:rsidRPr="00304737">
        <w:t>extension</w:t>
      </w:r>
      <w:r w:rsidR="00F6140E" w:rsidRPr="00304737">
        <w:t>,</w:t>
      </w:r>
      <w:r w:rsidR="00FA1300" w:rsidRPr="00304737">
        <w:t xml:space="preserve"> upon request of the community agency</w:t>
      </w:r>
      <w:r w:rsidR="00F86E10" w:rsidRPr="00304737">
        <w:t xml:space="preserve"> and after a </w:t>
      </w:r>
      <w:proofErr w:type="gramStart"/>
      <w:r w:rsidR="00F86E10" w:rsidRPr="00304737">
        <w:t>staffing</w:t>
      </w:r>
      <w:r w:rsidR="00FA1300" w:rsidRPr="00304737">
        <w:t>, if</w:t>
      </w:r>
      <w:proofErr w:type="gramEnd"/>
      <w:r w:rsidR="00FA1300" w:rsidRPr="00304737">
        <w:t xml:space="preserve"> it is determined that the absence will not exceed </w:t>
      </w:r>
      <w:r w:rsidR="00F86E10" w:rsidRPr="00304737">
        <w:t xml:space="preserve">two </w:t>
      </w:r>
      <w:r w:rsidR="00B45671">
        <w:t>additional</w:t>
      </w:r>
      <w:r w:rsidR="00F86E10" w:rsidRPr="00304737">
        <w:t xml:space="preserve"> months and that the Class Member will be able to return to the unit at that time.</w:t>
      </w:r>
      <w:r w:rsidR="00771D61">
        <w:t xml:space="preserve">  30 Class Member</w:t>
      </w:r>
      <w:r w:rsidR="00212591">
        <w:t>s</w:t>
      </w:r>
      <w:r w:rsidR="00771D61">
        <w:t xml:space="preserve"> temporarily left their housing during the first half of FY18.</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QPs shall inform all CMs of their options pursuant to subparagraphs 6a, 6d, and 7b of this Decree. Class members shall not be subjected to any form of retaliation in response to any option selected nor shall they be pressured to refrain from exploring appropriate alternatives to IMDs.</w:t>
      </w:r>
    </w:p>
    <w:p w:rsidR="000D31B3" w:rsidRDefault="00675F4F" w:rsidP="000D31B3">
      <w:pPr>
        <w:pStyle w:val="PlainText"/>
      </w:pPr>
      <w:r>
        <w:t xml:space="preserve">From the onset of </w:t>
      </w:r>
      <w:r w:rsidR="00212591">
        <w:rPr>
          <w:i/>
        </w:rPr>
        <w:t xml:space="preserve">Williams </w:t>
      </w:r>
      <w:r>
        <w:t xml:space="preserve">implementation, the State has informed facilities that inappropriate efforts to sway </w:t>
      </w:r>
      <w:r w:rsidR="00212591">
        <w:t>an individual’s</w:t>
      </w:r>
      <w:r>
        <w:t xml:space="preserve"> consideration of options or retaliate in any way are unacceptable.  Prompt response by the Departments to any reports of such facility behaviors, early in implementation stages, strengthe</w:t>
      </w:r>
      <w:r w:rsidR="00846A57">
        <w:t>n</w:t>
      </w:r>
      <w:r w:rsidR="000D31B3">
        <w:t>ed</w:t>
      </w:r>
      <w:r>
        <w:t xml:space="preserve"> the message.   Any such report is filed as a complaint for </w:t>
      </w:r>
      <w:r w:rsidR="00771D61">
        <w:t>I</w:t>
      </w:r>
      <w:r>
        <w:t xml:space="preserve">DPH’s investigation. </w:t>
      </w:r>
      <w:r w:rsidR="00771D61">
        <w:t>I</w:t>
      </w:r>
      <w:r w:rsidR="00054377">
        <w:t xml:space="preserve">DPH cannot </w:t>
      </w:r>
      <w:proofErr w:type="gramStart"/>
      <w:r w:rsidR="00054377">
        <w:t xml:space="preserve">conduct </w:t>
      </w:r>
      <w:r w:rsidR="00771D61">
        <w:t xml:space="preserve">an </w:t>
      </w:r>
      <w:r w:rsidR="00054377">
        <w:t>investigation</w:t>
      </w:r>
      <w:proofErr w:type="gramEnd"/>
      <w:r w:rsidR="000D31B3">
        <w:t xml:space="preserve"> </w:t>
      </w:r>
      <w:r w:rsidR="00054377">
        <w:t xml:space="preserve">if a complaint is not filed.   </w:t>
      </w:r>
      <w:r w:rsidR="00C27638">
        <w:t xml:space="preserve">Posters </w:t>
      </w:r>
      <w:r w:rsidR="000D31B3">
        <w:t xml:space="preserve">on Class Members’ rights related to </w:t>
      </w:r>
      <w:r w:rsidR="000D31B3" w:rsidRPr="000D31B3">
        <w:rPr>
          <w:i/>
        </w:rPr>
        <w:t>Moving</w:t>
      </w:r>
      <w:r w:rsidR="000D31B3">
        <w:rPr>
          <w:i/>
        </w:rPr>
        <w:t>-</w:t>
      </w:r>
      <w:r w:rsidR="000D31B3" w:rsidRPr="000D31B3">
        <w:rPr>
          <w:i/>
        </w:rPr>
        <w:t>On</w:t>
      </w:r>
      <w:r w:rsidR="000D31B3">
        <w:t xml:space="preserve"> </w:t>
      </w:r>
      <w:r w:rsidR="00C27638">
        <w:t>were developed and provided to each facility for public information.</w:t>
      </w:r>
      <w:r w:rsidR="000D31B3">
        <w:t xml:space="preserve">  HFS </w:t>
      </w:r>
      <w:r w:rsidR="00A06D38">
        <w:t xml:space="preserve">also released a </w:t>
      </w:r>
      <w:r w:rsidR="000D31B3">
        <w:t xml:space="preserve">Public Notice dated 02/22/2018 - </w:t>
      </w:r>
      <w:hyperlink r:id="rId22" w:history="1">
        <w:r w:rsidR="000D31B3">
          <w:rPr>
            <w:rStyle w:val="Hyperlink"/>
          </w:rPr>
          <w:t>https://www.illinois.gov/hfs/MedicalProviders/notices/Pages/prn180222a.aspx</w:t>
        </w:r>
      </w:hyperlink>
      <w:r w:rsidR="00A06D38">
        <w:t xml:space="preserve">. </w:t>
      </w:r>
      <w:r w:rsidR="00771D61">
        <w:t xml:space="preserve">   </w:t>
      </w:r>
      <w:r w:rsidR="00E805A2">
        <w:t>NAMI Outreach Workers and Ambassadors, as well as the Resident Review agencies and CMHC</w:t>
      </w:r>
      <w:r w:rsidR="00162337">
        <w:t>s’</w:t>
      </w:r>
      <w:r w:rsidR="00E805A2">
        <w:t xml:space="preserve"> staff have, as part of their message conveyor, language to inform Class Members of their rights.  There is no specifically developed information disseminated that discusses options or recourse if one perceives that they are subject to retaliation.  </w:t>
      </w:r>
    </w:p>
    <w:p w:rsidR="00C6740F" w:rsidRPr="00F22A64" w:rsidRDefault="00C6740F" w:rsidP="00846A57">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b/>
          <w:sz w:val="24"/>
          <w:szCs w:val="24"/>
        </w:rPr>
      </w:pPr>
      <w:r w:rsidRPr="00F22A64">
        <w:rPr>
          <w:b/>
          <w:sz w:val="24"/>
          <w:szCs w:val="24"/>
        </w:rPr>
        <w:t>Implementation Plan Requirements</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with input of Monitor and Plaintiffs, shall create an implement an IP to accomplish the objectives set forth in the Decree.</w:t>
      </w:r>
    </w:p>
    <w:p w:rsidR="00C6740F" w:rsidRPr="00D97E40" w:rsidRDefault="002B160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Since inception, t</w:t>
      </w:r>
      <w:r w:rsidR="002F48D8" w:rsidRPr="00304737">
        <w:t xml:space="preserve">he State has </w:t>
      </w:r>
      <w:r w:rsidRPr="00304737">
        <w:t>developed</w:t>
      </w:r>
      <w:r w:rsidR="002F48D8" w:rsidRPr="00304737">
        <w:t xml:space="preserve"> and submitted </w:t>
      </w:r>
      <w:r w:rsidR="00677015">
        <w:t xml:space="preserve">the annually </w:t>
      </w:r>
      <w:r w:rsidR="00B45671">
        <w:t>required</w:t>
      </w:r>
      <w:r w:rsidRPr="00304737">
        <w:t xml:space="preserve"> </w:t>
      </w:r>
      <w:r w:rsidR="002F48D8" w:rsidRPr="00304737">
        <w:t>Implementation Plan</w:t>
      </w:r>
      <w:r w:rsidR="00B45671">
        <w:t>s</w:t>
      </w:r>
      <w:r w:rsidR="00677015">
        <w:t xml:space="preserve"> and amendments</w:t>
      </w:r>
      <w:r w:rsidR="002F48D8" w:rsidRPr="00304737">
        <w:t xml:space="preserve">.  </w:t>
      </w:r>
      <w:r w:rsidR="00677015">
        <w:t xml:space="preserve">The one exception is the IP for FY18, which was significantly delayed due to </w:t>
      </w:r>
      <w:r w:rsidR="00162337">
        <w:t xml:space="preserve">numerous </w:t>
      </w:r>
      <w:r w:rsidR="00677015">
        <w:t>factors</w:t>
      </w:r>
      <w:r w:rsidR="00ED2BF3">
        <w:t>.</w:t>
      </w:r>
      <w:r w:rsidR="00E805A2" w:rsidRPr="00E805A2">
        <w:t xml:space="preserve"> The prior Monitor and parties agreed during a Williams Parties</w:t>
      </w:r>
      <w:r w:rsidR="00162337">
        <w:t>’</w:t>
      </w:r>
      <w:r w:rsidR="00E805A2" w:rsidRPr="00E805A2">
        <w:t xml:space="preserve"> Meeting to table the FY18 IP</w:t>
      </w:r>
      <w:r w:rsidR="00162337">
        <w:t xml:space="preserve"> </w:t>
      </w:r>
      <w:r w:rsidR="00E805A2" w:rsidRPr="00E805A2">
        <w:t>during the selection process for a successor monitor.  This agreement was verbal, and no written documentation has been located, as it was not the practice of the prior Monitor to memorialize all agreements in writing</w:t>
      </w:r>
      <w:r w:rsidR="00E805A2">
        <w:t>.</w:t>
      </w:r>
      <w:r w:rsidR="00212591">
        <w:t xml:space="preserve"> </w:t>
      </w:r>
      <w:r w:rsidR="00E805A2">
        <w:t xml:space="preserve"> </w:t>
      </w:r>
      <w:r w:rsidR="00677015" w:rsidRPr="009A1314">
        <w:rPr>
          <w:color w:val="548DD4" w:themeColor="text2" w:themeTint="99"/>
        </w:rPr>
        <w:t xml:space="preserve">  </w:t>
      </w:r>
      <w:r w:rsidR="00677015" w:rsidRPr="00D97E40">
        <w:t xml:space="preserve">An abbreviated FY18 IP was </w:t>
      </w:r>
      <w:r w:rsidR="002F48D8" w:rsidRPr="00D97E40">
        <w:t>filed on July 22, 2018</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D2453C">
        <w:rPr>
          <w:i/>
          <w:sz w:val="24"/>
          <w:szCs w:val="24"/>
        </w:rPr>
        <w:t>Establish specific tasks, timetables, goals, programs, plans, strategies, and protocols to assure the Defendants fulfill</w:t>
      </w:r>
      <w:r w:rsidRPr="00C6740F">
        <w:rPr>
          <w:i/>
          <w:sz w:val="24"/>
          <w:szCs w:val="24"/>
        </w:rPr>
        <w:t xml:space="preserve"> the requirements of the Decree.</w:t>
      </w:r>
    </w:p>
    <w:p w:rsidR="00C6740F" w:rsidRPr="00304737" w:rsidRDefault="00C217A5"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b/>
        </w:rPr>
      </w:pPr>
      <w:r w:rsidRPr="00304737">
        <w:t>The FY19 Implementation Plan</w:t>
      </w:r>
      <w:r w:rsidR="00D2453C" w:rsidRPr="00304737">
        <w:t xml:space="preserve"> was</w:t>
      </w:r>
      <w:r w:rsidRPr="00304737">
        <w:t xml:space="preserve"> completed by June 30, 2018 </w:t>
      </w:r>
      <w:r w:rsidR="00D2453C" w:rsidRPr="00304737">
        <w:t>and filed with the court</w:t>
      </w:r>
      <w:r w:rsidR="00635D54">
        <w:t xml:space="preserve"> on July 2, 2018</w:t>
      </w:r>
      <w:r w:rsidR="00D2453C" w:rsidRPr="00304737">
        <w:t>.   The Plan</w:t>
      </w:r>
      <w:r w:rsidRPr="00304737">
        <w:t xml:space="preserve"> establishe</w:t>
      </w:r>
      <w:r w:rsidR="00D2453C" w:rsidRPr="00304737">
        <w:t>s</w:t>
      </w:r>
      <w:r w:rsidRPr="00304737">
        <w:t xml:space="preserve"> criteria</w:t>
      </w:r>
      <w:r w:rsidR="00D2453C" w:rsidRPr="00304737">
        <w:t xml:space="preserve"> for implementation</w:t>
      </w:r>
      <w:r w:rsidRPr="00304737">
        <w:t>,</w:t>
      </w:r>
      <w:r w:rsidR="00D2453C" w:rsidRPr="00304737">
        <w:t xml:space="preserve"> including</w:t>
      </w:r>
      <w:r w:rsidRPr="00304737">
        <w:t xml:space="preserve"> specific tasks, timetables, goals, program, plans, etc.  </w:t>
      </w:r>
      <w:bookmarkStart w:id="1" w:name="_Hlk520798447"/>
      <w:r w:rsidR="00ED2BF3">
        <w:t>The IP addresses, to the extent possible, al</w:t>
      </w:r>
      <w:r w:rsidR="00162337">
        <w:t>l</w:t>
      </w:r>
      <w:r w:rsidR="00ED2BF3">
        <w:t xml:space="preserve"> required elements.  The Parties agreed to file both the FY19 and abbreviated FY18 IP.  As the FY18 plan was abbreviated in nature and came toward the end of the Fiscal Year, it was not a typical forward-looking IP to which data can then be compared for compliance.  </w:t>
      </w:r>
      <w:r w:rsidR="00ED2BF3" w:rsidRPr="00304737">
        <w:t xml:space="preserve"> </w:t>
      </w:r>
      <w:r w:rsidRPr="00304737">
        <w:t xml:space="preserve">Reference Document </w:t>
      </w:r>
      <w:r w:rsidRPr="00304737">
        <w:rPr>
          <w:b/>
        </w:rPr>
        <w:t>Williams v. Rauner, et al., No.05-4673</w:t>
      </w:r>
      <w:bookmarkEnd w:id="1"/>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Describe hiring, training, and supervision of the personnel necessary to implement the Decree.</w:t>
      </w:r>
    </w:p>
    <w:p w:rsidR="00C6740F" w:rsidRPr="00304737" w:rsidRDefault="00BD0D4A"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t>All Williams-related State hiring was completed at the outset of the Williams Decree.  During the six-month reporting period for this report, there were no individuals hired into State employment for work on the Williams Decree.  In the event additional staff is needed or current positions are to be filled, p</w:t>
      </w:r>
      <w:r w:rsidR="00C60672" w:rsidRPr="00304737">
        <w:t>otential applicants who</w:t>
      </w:r>
      <w:r w:rsidR="00D77F23" w:rsidRPr="00304737">
        <w:t xml:space="preserve"> </w:t>
      </w:r>
      <w:r w:rsidR="007A4B4B" w:rsidRPr="00304737">
        <w:t xml:space="preserve">seek employment in State government and all subsequent hires follow standard policies in accordance with </w:t>
      </w:r>
      <w:r w:rsidR="00C60672" w:rsidRPr="00304737">
        <w:t>S</w:t>
      </w:r>
      <w:r w:rsidR="007A4B4B" w:rsidRPr="00304737">
        <w:t>tate practices</w:t>
      </w:r>
      <w:r w:rsidR="00D2453C" w:rsidRPr="00304737">
        <w:t>,</w:t>
      </w:r>
      <w:r w:rsidR="007A4B4B" w:rsidRPr="00304737">
        <w:t xml:space="preserve"> as written by Central Managemen</w:t>
      </w:r>
      <w:r w:rsidR="00D63A1E" w:rsidRPr="00304737">
        <w:t>t Services</w:t>
      </w:r>
      <w:r w:rsidR="00E95D17" w:rsidRPr="00304737">
        <w:t xml:space="preserve"> (CMS)</w:t>
      </w:r>
      <w:r w:rsidR="00D63A1E" w:rsidRPr="00304737">
        <w:t xml:space="preserve">.  Individuals seeking employment </w:t>
      </w:r>
      <w:r w:rsidR="00C60672" w:rsidRPr="00304737">
        <w:t xml:space="preserve">complete and </w:t>
      </w:r>
      <w:r w:rsidR="007A4B4B" w:rsidRPr="00304737">
        <w:t xml:space="preserve">submit </w:t>
      </w:r>
      <w:r w:rsidR="00C60672" w:rsidRPr="00304737">
        <w:t xml:space="preserve">a </w:t>
      </w:r>
      <w:r w:rsidR="007A4B4B" w:rsidRPr="00304737">
        <w:t>standard application form which are reviewed and scored by CMS.   According to the job description</w:t>
      </w:r>
      <w:r w:rsidR="00D63A1E" w:rsidRPr="00304737">
        <w:t>, c</w:t>
      </w:r>
      <w:r w:rsidR="00E95D17" w:rsidRPr="00304737">
        <w:t>lassification</w:t>
      </w:r>
      <w:r w:rsidR="00D63A1E" w:rsidRPr="00304737">
        <w:t xml:space="preserve"> of the position</w:t>
      </w:r>
      <w:r w:rsidR="00D77F23" w:rsidRPr="00304737">
        <w:t xml:space="preserve"> and professional qualifications</w:t>
      </w:r>
      <w:r w:rsidR="007A4B4B" w:rsidRPr="00304737">
        <w:t xml:space="preserve"> the applicant may be </w:t>
      </w:r>
      <w:r w:rsidR="00D77F23" w:rsidRPr="00304737">
        <w:t xml:space="preserve">subject to a </w:t>
      </w:r>
      <w:proofErr w:type="spellStart"/>
      <w:r w:rsidR="007A4B4B" w:rsidRPr="00304737">
        <w:t>Rutan</w:t>
      </w:r>
      <w:proofErr w:type="spellEnd"/>
      <w:r w:rsidR="007A4B4B" w:rsidRPr="00304737">
        <w:t xml:space="preserve"> interview.    </w:t>
      </w:r>
      <w:r w:rsidR="00D2453C" w:rsidRPr="00304737">
        <w:t>These i</w:t>
      </w:r>
      <w:r w:rsidR="00E95D17" w:rsidRPr="00304737">
        <w:t xml:space="preserve">nterviews are conducted by the Bureau of Recruitment and Selection (BRS).   </w:t>
      </w:r>
      <w:r w:rsidR="007A4B4B" w:rsidRPr="00304737">
        <w:t>Each Department</w:t>
      </w:r>
      <w:r w:rsidR="00D77F23" w:rsidRPr="00304737">
        <w:t xml:space="preserve">, therein, </w:t>
      </w:r>
      <w:r w:rsidR="007A4B4B" w:rsidRPr="00304737">
        <w:t xml:space="preserve">is responsible for </w:t>
      </w:r>
      <w:r w:rsidR="00D77F23" w:rsidRPr="00304737">
        <w:t xml:space="preserve">staff </w:t>
      </w:r>
      <w:r w:rsidR="007A4B4B" w:rsidRPr="00304737">
        <w:t>training</w:t>
      </w:r>
      <w:r w:rsidR="00D77F23" w:rsidRPr="00304737">
        <w:t>,</w:t>
      </w:r>
      <w:r w:rsidR="007A4B4B" w:rsidRPr="00304737">
        <w:t xml:space="preserve"> </w:t>
      </w:r>
      <w:r w:rsidR="00D77F23" w:rsidRPr="00304737">
        <w:t xml:space="preserve">work assignment, </w:t>
      </w:r>
      <w:r w:rsidR="007A4B4B" w:rsidRPr="00304737">
        <w:t>supervision of personnel</w:t>
      </w:r>
      <w:r w:rsidR="00D77F23" w:rsidRPr="00304737">
        <w:t xml:space="preserve"> and staff development</w:t>
      </w:r>
      <w:r w:rsidR="007A4B4B" w:rsidRPr="00304737">
        <w:t xml:space="preserv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Describe the activities required to develop CB services and CB settings, including inter-agency agreements, requests for proposals, and other actions necessary to implement the Decree.</w:t>
      </w:r>
    </w:p>
    <w:p w:rsidR="001920D2" w:rsidRPr="00304737" w:rsidRDefault="00D63A1E" w:rsidP="001920D2">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During this reporting period and in accordance with t</w:t>
      </w:r>
      <w:r w:rsidR="00D77F23" w:rsidRPr="00304737">
        <w:t xml:space="preserve">he </w:t>
      </w:r>
      <w:r w:rsidRPr="00304737">
        <w:t>Grants Accountability and Transparency Act (GATA), Notice of Funding Opportunit</w:t>
      </w:r>
      <w:r w:rsidR="00C60672" w:rsidRPr="00304737">
        <w:t>ies</w:t>
      </w:r>
      <w:r w:rsidRPr="00304737">
        <w:t xml:space="preserve"> (NOFOs) were posted on the DMH website for</w:t>
      </w:r>
      <w:r w:rsidR="00D4265B" w:rsidRPr="00304737">
        <w:t xml:space="preserve"> an array of community-based mental health services</w:t>
      </w:r>
      <w:r w:rsidR="00767316" w:rsidRPr="00304737">
        <w:t>,</w:t>
      </w:r>
      <w:r w:rsidR="00D4265B" w:rsidRPr="00304737">
        <w:t xml:space="preserve"> in addition to Willi</w:t>
      </w:r>
      <w:r w:rsidR="007C457F" w:rsidRPr="00304737">
        <w:t>ams specific services</w:t>
      </w:r>
      <w:r w:rsidR="00D4265B" w:rsidRPr="00304737">
        <w:t xml:space="preserve">.  Applicant specifications </w:t>
      </w:r>
      <w:r w:rsidR="00D2453C" w:rsidRPr="00304737">
        <w:t>were</w:t>
      </w:r>
      <w:r w:rsidR="00D4265B" w:rsidRPr="00304737">
        <w:t xml:space="preserve"> outlined in the posting</w:t>
      </w:r>
      <w:r w:rsidR="00B45671">
        <w:t>s</w:t>
      </w:r>
      <w:r w:rsidR="00D4265B" w:rsidRPr="00304737">
        <w:t xml:space="preserve"> that include</w:t>
      </w:r>
      <w:r w:rsidR="00C60672" w:rsidRPr="00304737">
        <w:t>d</w:t>
      </w:r>
      <w:r w:rsidR="00D4265B" w:rsidRPr="00304737">
        <w:t xml:space="preserve"> applicant qualifications, fiscal viability requirements, services to be rendered, performance deliverables, </w:t>
      </w:r>
      <w:r w:rsidR="00B225E9" w:rsidRPr="00304737">
        <w:t>budget request</w:t>
      </w:r>
      <w:r w:rsidR="00C60672" w:rsidRPr="00304737">
        <w:t>s</w:t>
      </w:r>
      <w:r w:rsidR="00D4265B" w:rsidRPr="00304737">
        <w:t xml:space="preserve">, etc.   Applications </w:t>
      </w:r>
      <w:r w:rsidR="00D2453C" w:rsidRPr="00304737">
        <w:t>were</w:t>
      </w:r>
      <w:r w:rsidR="00D4265B" w:rsidRPr="00304737">
        <w:t xml:space="preserve"> reviewed and scored</w:t>
      </w:r>
      <w:r w:rsidR="00767316" w:rsidRPr="00304737">
        <w:t xml:space="preserve"> (individually and as </w:t>
      </w:r>
      <w:r w:rsidR="00C60672" w:rsidRPr="00304737">
        <w:t xml:space="preserve">a </w:t>
      </w:r>
      <w:r w:rsidR="00767316" w:rsidRPr="00304737">
        <w:t xml:space="preserve">team </w:t>
      </w:r>
      <w:r w:rsidR="00B225E9" w:rsidRPr="00304737">
        <w:t>proces</w:t>
      </w:r>
      <w:r w:rsidR="00767316" w:rsidRPr="00304737">
        <w:t>s</w:t>
      </w:r>
      <w:r w:rsidR="001920D2" w:rsidRPr="00304737">
        <w:t xml:space="preserve">).  The top scorers </w:t>
      </w:r>
      <w:r w:rsidR="00C60672" w:rsidRPr="00304737">
        <w:t>were</w:t>
      </w:r>
      <w:r w:rsidR="001920D2" w:rsidRPr="00304737">
        <w:t xml:space="preserve"> awarded contracts.   The following Williams contracts were awarded during this reporting period: (1) Medicaid Spenddown, (2) Outreach, (3) Drop</w:t>
      </w:r>
      <w:r w:rsidR="00F173AE" w:rsidRPr="00304737">
        <w:t>-</w:t>
      </w:r>
      <w:r w:rsidR="001920D2" w:rsidRPr="00304737">
        <w:t>In Center, (4) Quality Administrator, (5) Integrated Health Care, (6) Transition Coordination, (7) Clinical Reviews, (8) Co</w:t>
      </w:r>
      <w:r w:rsidR="007C457F" w:rsidRPr="00304737">
        <w:t>nsent Decree Training Institute, (9) Mortality Review, (10) Resident Reviews, (11) Neuropsych</w:t>
      </w:r>
      <w:r w:rsidR="003B1E6B" w:rsidRPr="00304737">
        <w:t xml:space="preserve">ological </w:t>
      </w:r>
      <w:r w:rsidR="007C457F" w:rsidRPr="00304737">
        <w:t>assessment, (12) Occupational Therapy Assessment, (13)</w:t>
      </w:r>
      <w:r w:rsidR="001920D2" w:rsidRPr="00304737">
        <w:t xml:space="preserve"> </w:t>
      </w:r>
      <w:r w:rsidR="007C457F" w:rsidRPr="00304737">
        <w:t>Cluster Housing PSH, (14)</w:t>
      </w:r>
      <w:r w:rsidR="001920D2" w:rsidRPr="00304737">
        <w:t xml:space="preserve"> </w:t>
      </w:r>
      <w:r w:rsidR="00610AFE" w:rsidRPr="00304737">
        <w:t>Front Door Expansion, (15) In Home Recover</w:t>
      </w:r>
      <w:r w:rsidR="00767316" w:rsidRPr="00304737">
        <w:t>y</w:t>
      </w:r>
      <w:r w:rsidR="00610AFE" w:rsidRPr="00304737">
        <w:t xml:space="preserve"> and Support</w:t>
      </w:r>
      <w:r w:rsidR="00767316" w:rsidRPr="00304737">
        <w:t xml:space="preserve">.   </w:t>
      </w:r>
      <w:r w:rsidR="00C60672" w:rsidRPr="00304737">
        <w:t xml:space="preserve">Currently, </w:t>
      </w:r>
      <w:r w:rsidR="00767316" w:rsidRPr="00304737">
        <w:t xml:space="preserve">there are three </w:t>
      </w:r>
      <w:r w:rsidR="00DF73AF" w:rsidRPr="00304737">
        <w:t>active</w:t>
      </w:r>
      <w:r w:rsidR="00724668" w:rsidRPr="00304737">
        <w:t xml:space="preserve"> </w:t>
      </w:r>
      <w:r w:rsidR="00767316" w:rsidRPr="00304737">
        <w:t>I</w:t>
      </w:r>
      <w:r w:rsidR="00B45671">
        <w:t xml:space="preserve">ntergovernmental </w:t>
      </w:r>
      <w:r w:rsidR="00767316" w:rsidRPr="00304737">
        <w:t>G</w:t>
      </w:r>
      <w:r w:rsidR="00B45671">
        <w:t xml:space="preserve">rant </w:t>
      </w:r>
      <w:r w:rsidR="00767316" w:rsidRPr="00304737">
        <w:t>A</w:t>
      </w:r>
      <w:r w:rsidR="00B45671">
        <w:t>greements (IGAs)</w:t>
      </w:r>
      <w:r w:rsidR="001920D2" w:rsidRPr="00304737">
        <w:t xml:space="preserve"> </w:t>
      </w:r>
      <w:r w:rsidR="00C60672" w:rsidRPr="00304737">
        <w:t>with</w:t>
      </w:r>
      <w:r w:rsidR="00B45671">
        <w:t xml:space="preserve"> </w:t>
      </w:r>
      <w:r w:rsidR="00767316" w:rsidRPr="00304737">
        <w:t xml:space="preserve">(a) </w:t>
      </w:r>
      <w:r w:rsidR="00F173AE" w:rsidRPr="00304737">
        <w:t xml:space="preserve">the </w:t>
      </w:r>
      <w:r w:rsidR="00767316" w:rsidRPr="00304737">
        <w:t>University of Illinois</w:t>
      </w:r>
      <w:r w:rsidR="00724668" w:rsidRPr="00304737">
        <w:t xml:space="preserve"> – Training Institute, Research, Mortality</w:t>
      </w:r>
      <w:r w:rsidR="00F173AE" w:rsidRPr="00304737">
        <w:t xml:space="preserve"> Reviews,</w:t>
      </w:r>
      <w:r w:rsidR="00724668" w:rsidRPr="00304737">
        <w:t xml:space="preserve"> Neuropsych</w:t>
      </w:r>
      <w:r w:rsidR="003B1E6B" w:rsidRPr="00304737">
        <w:t>ological</w:t>
      </w:r>
      <w:r w:rsidR="00724668" w:rsidRPr="00304737">
        <w:t xml:space="preserve"> </w:t>
      </w:r>
      <w:r w:rsidR="00F173AE" w:rsidRPr="00304737">
        <w:t xml:space="preserve">Assessments </w:t>
      </w:r>
      <w:r w:rsidR="00724668" w:rsidRPr="00304737">
        <w:t>and O</w:t>
      </w:r>
      <w:r w:rsidR="00F173AE" w:rsidRPr="00304737">
        <w:t>ccupational Therapy Assessments</w:t>
      </w:r>
      <w:r w:rsidR="00767316" w:rsidRPr="00304737">
        <w:t xml:space="preserve">, (b) </w:t>
      </w:r>
      <w:r w:rsidR="00F173AE" w:rsidRPr="00304737">
        <w:t xml:space="preserve">the Illinois </w:t>
      </w:r>
      <w:r w:rsidR="00767316" w:rsidRPr="00304737">
        <w:t xml:space="preserve">Department on Aging and (c) </w:t>
      </w:r>
      <w:r w:rsidR="00F173AE" w:rsidRPr="00304737">
        <w:t xml:space="preserve">the </w:t>
      </w:r>
      <w:r w:rsidR="00767316" w:rsidRPr="00304737">
        <w:t>Illinois Housing Development Authority.</w:t>
      </w:r>
      <w:r w:rsidR="00610AFE" w:rsidRPr="00304737">
        <w:t xml:space="preserve"> </w:t>
      </w:r>
      <w:r w:rsidR="001920D2" w:rsidRPr="00304737">
        <w:t xml:space="preserve"> </w:t>
      </w:r>
      <w:r w:rsidR="00724668" w:rsidRPr="00304737">
        <w:t xml:space="preserve">There were no </w:t>
      </w:r>
      <w:r w:rsidR="00F173AE" w:rsidRPr="00304737">
        <w:t xml:space="preserve">new </w:t>
      </w:r>
      <w:r w:rsidR="00724668" w:rsidRPr="00304737">
        <w:t>IGA</w:t>
      </w:r>
      <w:r w:rsidR="00F173AE" w:rsidRPr="00304737">
        <w:t>s</w:t>
      </w:r>
      <w:r w:rsidR="00724668" w:rsidRPr="00304737">
        <w:t xml:space="preserve"> executed during this reporting period</w:t>
      </w:r>
      <w:r w:rsidR="00DF73AF" w:rsidRPr="00304737">
        <w:t>.</w:t>
      </w:r>
      <w:r w:rsidR="001920D2" w:rsidRPr="00304737">
        <w:t xml:space="preserve">                                                                                                                                                       </w:t>
      </w:r>
    </w:p>
    <w:p w:rsidR="00C6740F" w:rsidRPr="00C6740F" w:rsidRDefault="00C6740F" w:rsidP="00737FE1">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Identify, based on information known at the time the IP i</w:t>
      </w:r>
      <w:r w:rsidR="00AA7FB3">
        <w:rPr>
          <w:i/>
          <w:sz w:val="24"/>
          <w:szCs w:val="24"/>
        </w:rPr>
        <w:t>s</w:t>
      </w:r>
      <w:r w:rsidRPr="00C6740F">
        <w:rPr>
          <w:i/>
          <w:sz w:val="24"/>
          <w:szCs w:val="24"/>
        </w:rPr>
        <w:t xml:space="preserve"> finalized and updated on a regular basis, any services or supports anticipated or required in SPs formulated pursuant to the Decree that </w:t>
      </w:r>
      <w:r w:rsidR="00AA7FB3">
        <w:rPr>
          <w:i/>
          <w:sz w:val="24"/>
          <w:szCs w:val="24"/>
        </w:rPr>
        <w:t>a</w:t>
      </w:r>
      <w:r w:rsidRPr="00C6740F">
        <w:rPr>
          <w:i/>
          <w:sz w:val="24"/>
          <w:szCs w:val="24"/>
        </w:rPr>
        <w:t>re not currently available in the appropriate quantity, quality, or geographic location.</w:t>
      </w:r>
    </w:p>
    <w:p w:rsidR="00C6740F" w:rsidRDefault="0032377A"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sz w:val="24"/>
          <w:szCs w:val="24"/>
        </w:rPr>
      </w:pPr>
      <w:r>
        <w:rPr>
          <w:sz w:val="24"/>
          <w:szCs w:val="24"/>
        </w:rPr>
        <w:t xml:space="preserve">The State continues to review </w:t>
      </w:r>
      <w:r w:rsidR="00073F08">
        <w:rPr>
          <w:sz w:val="24"/>
          <w:szCs w:val="24"/>
        </w:rPr>
        <w:t xml:space="preserve">with Williams CMHCs access and capacity needs </w:t>
      </w:r>
      <w:r>
        <w:rPr>
          <w:sz w:val="24"/>
          <w:szCs w:val="24"/>
        </w:rPr>
        <w:t>to ensure an adequate compl</w:t>
      </w:r>
      <w:r w:rsidR="00073F08">
        <w:rPr>
          <w:sz w:val="24"/>
          <w:szCs w:val="24"/>
        </w:rPr>
        <w:t>e</w:t>
      </w:r>
      <w:r>
        <w:rPr>
          <w:sz w:val="24"/>
          <w:szCs w:val="24"/>
        </w:rPr>
        <w:t xml:space="preserve">ment of services to </w:t>
      </w:r>
      <w:r w:rsidR="00073F08">
        <w:rPr>
          <w:sz w:val="24"/>
          <w:szCs w:val="24"/>
        </w:rPr>
        <w:t xml:space="preserve">facilitate seamless transition, treatment and continued support for </w:t>
      </w:r>
      <w:r>
        <w:rPr>
          <w:sz w:val="24"/>
          <w:szCs w:val="24"/>
        </w:rPr>
        <w:t>transitioning Class Members</w:t>
      </w:r>
      <w:r w:rsidR="00073F08">
        <w:rPr>
          <w:sz w:val="24"/>
          <w:szCs w:val="24"/>
        </w:rPr>
        <w:t xml:space="preserve">. </w:t>
      </w:r>
      <w:r>
        <w:rPr>
          <w:sz w:val="24"/>
          <w:szCs w:val="24"/>
        </w:rPr>
        <w:t xml:space="preserve"> </w:t>
      </w:r>
      <w:r w:rsidR="00771D61">
        <w:rPr>
          <w:sz w:val="24"/>
          <w:szCs w:val="24"/>
        </w:rPr>
        <w:t>Class Member service plans were not assessed during these discussions</w:t>
      </w:r>
      <w:r w:rsidR="00212591">
        <w:rPr>
          <w:sz w:val="24"/>
          <w:szCs w:val="24"/>
        </w:rPr>
        <w:t xml:space="preserve"> but served to inform the discussion as the CMHCs have extensive knowledge of CM Service Plans as a whole</w:t>
      </w:r>
      <w:r w:rsidR="00771D61">
        <w:rPr>
          <w:sz w:val="24"/>
          <w:szCs w:val="24"/>
        </w:rPr>
        <w:t>.</w:t>
      </w:r>
      <w:r>
        <w:rPr>
          <w:sz w:val="24"/>
          <w:szCs w:val="24"/>
        </w:rPr>
        <w:t xml:space="preserve"> </w:t>
      </w:r>
    </w:p>
    <w:p w:rsidR="00073F08"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Identify, based on information known at the time the IP is finalized and updated on a regular basis, any services and supports which, based on demographic or other data, are expected to be required within one year to meet the obligations of the decree</w:t>
      </w:r>
      <w:r>
        <w:rPr>
          <w:i/>
          <w:sz w:val="24"/>
          <w:szCs w:val="24"/>
        </w:rPr>
        <w:t>.</w:t>
      </w:r>
    </w:p>
    <w:p w:rsidR="00AF0F4B" w:rsidRPr="00D97E40" w:rsidRDefault="00AF0F4B" w:rsidP="00621ABA">
      <w:pPr>
        <w:spacing w:after="0"/>
        <w:jc w:val="both"/>
      </w:pPr>
      <w:r w:rsidRPr="00D97E40">
        <w:t xml:space="preserve">DMH recognized the need to expand services to </w:t>
      </w:r>
      <w:r w:rsidR="0003061B" w:rsidRPr="00D97E40">
        <w:t xml:space="preserve">address gaps in available resources for Class Members who need </w:t>
      </w:r>
      <w:r w:rsidRPr="00D97E40">
        <w:t>Supervised Residential settings, in the metro Chicago area and in mid-State (Peoria/Decatur areas),</w:t>
      </w:r>
      <w:r w:rsidR="0003061B" w:rsidRPr="00D97E40">
        <w:t xml:space="preserve"> and Cluster Housing/PSH models</w:t>
      </w:r>
      <w:r w:rsidRPr="00D97E40">
        <w:t xml:space="preserve"> to facilitate transition </w:t>
      </w:r>
      <w:r w:rsidR="0003061B" w:rsidRPr="00D97E40">
        <w:t>opportunities for</w:t>
      </w:r>
      <w:r w:rsidRPr="00D97E40">
        <w:t xml:space="preserve"> Class Members who require a</w:t>
      </w:r>
      <w:r w:rsidR="0003061B" w:rsidRPr="00D97E40">
        <w:t>nother</w:t>
      </w:r>
      <w:r w:rsidRPr="00D97E40">
        <w:t xml:space="preserve"> level of support </w:t>
      </w:r>
      <w:r w:rsidR="0003061B" w:rsidRPr="00D97E40">
        <w:t>as they work on recovery and m</w:t>
      </w:r>
      <w:r w:rsidRPr="00D97E40">
        <w:t>ove</w:t>
      </w:r>
      <w:r w:rsidR="0003061B" w:rsidRPr="00D97E40">
        <w:t>ment</w:t>
      </w:r>
      <w:r w:rsidRPr="00D97E40">
        <w:t xml:space="preserve"> towards independent living.</w:t>
      </w:r>
      <w:r w:rsidR="00D305B5" w:rsidRPr="00D97E40">
        <w:t xml:space="preserve"> </w:t>
      </w:r>
      <w:r w:rsidRPr="00D97E40">
        <w:t xml:space="preserve">Notice of Funding Opportunities </w:t>
      </w:r>
      <w:r w:rsidR="0003061B" w:rsidRPr="00D97E40">
        <w:t xml:space="preserve">(NOFOs) </w:t>
      </w:r>
      <w:r w:rsidRPr="00D97E40">
        <w:t xml:space="preserve">were released in </w:t>
      </w:r>
      <w:r w:rsidR="0003061B" w:rsidRPr="00D97E40">
        <w:t xml:space="preserve">the second quarter of FY18 for Supervised Residential settings and to expand Cluster Housing/PSH. </w:t>
      </w:r>
      <w:proofErr w:type="gramStart"/>
      <w:r w:rsidR="0003061B" w:rsidRPr="00D97E40">
        <w:t>As a result of</w:t>
      </w:r>
      <w:proofErr w:type="gramEnd"/>
      <w:r w:rsidR="0003061B" w:rsidRPr="00D97E40">
        <w:t xml:space="preserve"> these applications, two Residential settings were awarded – one in Peoria (8 beds) and one in Chicago (8 beds).   There were no funded applicants for the NOFO for expanding the Cluster Housing/PSH model.  Another </w:t>
      </w:r>
      <w:r w:rsidR="00212591" w:rsidRPr="00D97E40">
        <w:t>effort</w:t>
      </w:r>
      <w:r w:rsidR="0003061B" w:rsidRPr="00D97E40">
        <w:t xml:space="preserve"> to expand Cluster Housing/PSH will be pursed in FY19.  </w:t>
      </w:r>
      <w:r w:rsidR="00925663" w:rsidRPr="00D97E40">
        <w:t>DMH also informed CMHCs with ACT services that they can use ACT nurses for non-psychiatric services</w:t>
      </w:r>
      <w:r w:rsidR="009C1A6B" w:rsidRPr="00D97E40">
        <w:t xml:space="preserve"> and bill for these services.   DMH </w:t>
      </w:r>
      <w:r w:rsidR="00C15B66" w:rsidRPr="00D97E40">
        <w:t xml:space="preserve">also instructed </w:t>
      </w:r>
      <w:r w:rsidR="00B21DA4" w:rsidRPr="00D97E40">
        <w:t xml:space="preserve">CMHCs with </w:t>
      </w:r>
      <w:r w:rsidR="00C15B66" w:rsidRPr="00D97E40">
        <w:t>ACT</w:t>
      </w:r>
      <w:r w:rsidR="00B21DA4" w:rsidRPr="00D97E40">
        <w:t xml:space="preserve"> team </w:t>
      </w:r>
      <w:r w:rsidR="00C15B66" w:rsidRPr="00D97E40">
        <w:t>services that the State Plan allow</w:t>
      </w:r>
      <w:r w:rsidR="00B21DA4" w:rsidRPr="00D97E40">
        <w:t>s for</w:t>
      </w:r>
      <w:r w:rsidR="00C15B66" w:rsidRPr="00D97E40">
        <w:t xml:space="preserve"> ACT nursing to provide non-psychiatric services and appropriately bill for these services – medical staff can bill as allowed by their respective license.  This will increase</w:t>
      </w:r>
      <w:r w:rsidR="00B21DA4" w:rsidRPr="00D97E40">
        <w:t xml:space="preserve"> ACT teams’ capability to provide more integrated health care to Class Members with medical co-morbidity. </w:t>
      </w:r>
      <w:r w:rsidR="00C15B66" w:rsidRPr="00D97E40">
        <w:t xml:space="preserve"> </w:t>
      </w:r>
    </w:p>
    <w:p w:rsidR="0003061B" w:rsidRPr="00012928" w:rsidRDefault="0003061B" w:rsidP="00621ABA">
      <w:pPr>
        <w:spacing w:after="0"/>
        <w:jc w:val="both"/>
        <w:rPr>
          <w:color w:val="000000" w:themeColor="text1"/>
        </w:rPr>
      </w:pP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 xml:space="preserve">Identify any necessary changes to regulations that govern IMDs </w:t>
      </w:r>
      <w:proofErr w:type="gramStart"/>
      <w:r w:rsidRPr="00C6740F">
        <w:rPr>
          <w:i/>
          <w:sz w:val="24"/>
          <w:szCs w:val="24"/>
        </w:rPr>
        <w:t>in order to</w:t>
      </w:r>
      <w:proofErr w:type="gramEnd"/>
      <w:r w:rsidRPr="00C6740F">
        <w:rPr>
          <w:i/>
          <w:sz w:val="24"/>
          <w:szCs w:val="24"/>
        </w:rPr>
        <w:t xml:space="preserve"> strengthen and clarify requirements for services to persons with MI and to provide for effective oversight and enforcement of all regulations and laws.</w:t>
      </w:r>
    </w:p>
    <w:p w:rsidR="00C6740F" w:rsidRPr="00304737" w:rsidRDefault="00671438"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Under authority of the Illinois Department of Public Health (IDPH)</w:t>
      </w:r>
      <w:r w:rsidR="002F48D8" w:rsidRPr="00304737">
        <w:t>,</w:t>
      </w:r>
      <w:r w:rsidRPr="00304737">
        <w:t xml:space="preserve"> which survey and monitors the operations of the 24 </w:t>
      </w:r>
      <w:r w:rsidR="00B45671">
        <w:t>Specialized Mental Health Rehabilitation Facilities (</w:t>
      </w:r>
      <w:r w:rsidRPr="00304737">
        <w:t>SMHRFs</w:t>
      </w:r>
      <w:r w:rsidR="00B45671">
        <w:t>)</w:t>
      </w:r>
      <w:r w:rsidRPr="00304737">
        <w:t xml:space="preserve"> for </w:t>
      </w:r>
      <w:r w:rsidR="00737FE1" w:rsidRPr="00304737">
        <w:t>compliance</w:t>
      </w:r>
      <w:r w:rsidRPr="00304737">
        <w:t xml:space="preserve">, </w:t>
      </w:r>
      <w:r w:rsidR="00737FE1" w:rsidRPr="00304737">
        <w:t xml:space="preserve">there </w:t>
      </w:r>
      <w:r w:rsidRPr="00304737">
        <w:t xml:space="preserve">were no changes to regulations </w:t>
      </w:r>
      <w:r w:rsidR="00737FE1" w:rsidRPr="00304737">
        <w:t xml:space="preserve">that govern </w:t>
      </w:r>
      <w:r w:rsidRPr="00304737">
        <w:t>these facilities</w:t>
      </w:r>
      <w:r w:rsidR="00737FE1" w:rsidRPr="00304737">
        <w:t xml:space="preserve"> during this reporting period.    IDPH continues to work with the t</w:t>
      </w:r>
      <w:r w:rsidRPr="00304737">
        <w:t>wo</w:t>
      </w:r>
      <w:r w:rsidR="00737FE1" w:rsidRPr="00304737">
        <w:t xml:space="preserve"> remaining </w:t>
      </w:r>
      <w:r w:rsidRPr="00304737">
        <w:t>SMHRFs</w:t>
      </w:r>
      <w:r w:rsidR="00737FE1" w:rsidRPr="00304737">
        <w:t xml:space="preserve">/IMDs in their conversion </w:t>
      </w:r>
      <w:r w:rsidRPr="00304737">
        <w:t xml:space="preserve">efforts from a nursing facility/IMD </w:t>
      </w:r>
      <w:r w:rsidR="00737FE1" w:rsidRPr="00304737">
        <w:t>to meet the requirements of Rule 380</w:t>
      </w:r>
      <w:r w:rsidRPr="00304737">
        <w:t xml:space="preserve"> -</w:t>
      </w:r>
      <w:r w:rsidR="00737FE1" w:rsidRPr="00304737">
        <w:t xml:space="preserve"> Specialized Mental Health Rehabilitation Facilities (SMHRFs)</w:t>
      </w:r>
      <w:r w:rsidR="00C60672" w:rsidRPr="00304737">
        <w:t>.</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Describe methods by which Defendants shall ensure compliance with their obligations under paragraph 6 of this Decree.</w:t>
      </w:r>
    </w:p>
    <w:p w:rsidR="00C6740F" w:rsidRPr="00304737" w:rsidRDefault="008A73B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Addressed in detail under Resident Review Assessments.</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 xml:space="preserve">Defendants shall ensure that CMs </w:t>
      </w:r>
      <w:proofErr w:type="gramStart"/>
      <w:r w:rsidRPr="00C6740F">
        <w:rPr>
          <w:i/>
          <w:sz w:val="24"/>
          <w:szCs w:val="24"/>
        </w:rPr>
        <w:t>have the opportunity to</w:t>
      </w:r>
      <w:proofErr w:type="gramEnd"/>
      <w:r w:rsidRPr="00C6740F">
        <w:rPr>
          <w:i/>
          <w:sz w:val="24"/>
          <w:szCs w:val="24"/>
        </w:rPr>
        <w:t xml:space="preserve"> receive complete and accurate information regarding their rights to live in CB settings and/or to receive CB settings, and the available options and opportunities for doing so.</w:t>
      </w:r>
    </w:p>
    <w:p w:rsidR="00C6740F" w:rsidRDefault="008A73B9"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sz w:val="24"/>
          <w:szCs w:val="24"/>
        </w:rPr>
      </w:pPr>
      <w:r w:rsidRPr="00304737">
        <w:t>Addressed in detail under Resident Review Assessment and Outreach and Information Dissemination</w:t>
      </w:r>
      <w:r w:rsidRPr="00671438">
        <w:rPr>
          <w:sz w:val="24"/>
          <w:szCs w:val="24"/>
        </w:rPr>
        <w:t>.</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IP shall describe methods of engaging residents, including where appropriate, providing reasonable opportunities for residents to observe CB settings.</w:t>
      </w:r>
    </w:p>
    <w:p w:rsidR="00C6740F" w:rsidRDefault="001212F7"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sz w:val="24"/>
          <w:szCs w:val="24"/>
        </w:rPr>
      </w:pPr>
      <w:r w:rsidRPr="00304737">
        <w:t>The</w:t>
      </w:r>
      <w:r w:rsidR="00771D61">
        <w:t xml:space="preserve"> </w:t>
      </w:r>
      <w:r w:rsidR="00212591">
        <w:t>I</w:t>
      </w:r>
      <w:r w:rsidR="002F523D">
        <w:t xml:space="preserve">mplementation </w:t>
      </w:r>
      <w:r w:rsidR="00212591">
        <w:t>Plans, from inception to the current IP,</w:t>
      </w:r>
      <w:r w:rsidR="002F523D">
        <w:t xml:space="preserve"> </w:t>
      </w:r>
      <w:r w:rsidR="00BD0D4A">
        <w:t xml:space="preserve">lay out various methods used to engage residents, ranging from Outreach and Ambassador work to the work of the CMHCs in engaging residents throughout the transition period.  </w:t>
      </w:r>
      <w:r w:rsidR="00212591">
        <w:t>I</w:t>
      </w:r>
      <w:r w:rsidRPr="00304737">
        <w:t>mplementation activities of CMHCs ha</w:t>
      </w:r>
      <w:r w:rsidR="004065A2" w:rsidRPr="00304737">
        <w:t>ve</w:t>
      </w:r>
      <w:r w:rsidRPr="00304737">
        <w:t xml:space="preserve"> been clearly </w:t>
      </w:r>
      <w:proofErr w:type="gramStart"/>
      <w:r w:rsidRPr="00304737">
        <w:t>detailed, since</w:t>
      </w:r>
      <w:proofErr w:type="gramEnd"/>
      <w:r w:rsidRPr="00304737">
        <w:t xml:space="preserve"> inception.  </w:t>
      </w:r>
      <w:r w:rsidR="00240DEE" w:rsidRPr="00304737">
        <w:t>The CMHC</w:t>
      </w:r>
      <w:r w:rsidRPr="00304737">
        <w:t>s</w:t>
      </w:r>
      <w:r w:rsidR="00240DEE" w:rsidRPr="00304737">
        <w:t xml:space="preserve"> initiate contact with Class Member</w:t>
      </w:r>
      <w:r w:rsidR="002F48D8" w:rsidRPr="00304737">
        <w:t>s</w:t>
      </w:r>
      <w:r w:rsidR="00240DEE" w:rsidRPr="00304737">
        <w:t xml:space="preserve"> </w:t>
      </w:r>
      <w:r w:rsidR="00671438" w:rsidRPr="00304737">
        <w:t>(and representative</w:t>
      </w:r>
      <w:r w:rsidR="002F48D8" w:rsidRPr="00304737">
        <w:t>s</w:t>
      </w:r>
      <w:r w:rsidR="00671438" w:rsidRPr="00304737">
        <w:t xml:space="preserve">, if appropriate) </w:t>
      </w:r>
      <w:r w:rsidR="00240DEE" w:rsidRPr="00304737">
        <w:t xml:space="preserve">and </w:t>
      </w:r>
      <w:r w:rsidR="00671438" w:rsidRPr="00304737">
        <w:t xml:space="preserve">the </w:t>
      </w:r>
      <w:r w:rsidR="00240DEE" w:rsidRPr="00304737">
        <w:t xml:space="preserve">facility administrator or designee within seven days of the agency’s assignment.  </w:t>
      </w:r>
      <w:r w:rsidR="00671438" w:rsidRPr="00304737">
        <w:t xml:space="preserve">The CMHC is responsible for </w:t>
      </w:r>
      <w:r w:rsidR="00240DEE" w:rsidRPr="00304737">
        <w:t>conven</w:t>
      </w:r>
      <w:r w:rsidR="00671438" w:rsidRPr="00304737">
        <w:t>ing an initial</w:t>
      </w:r>
      <w:r w:rsidR="00240DEE" w:rsidRPr="00304737">
        <w:t xml:space="preserve"> pre-discharge staffing (with </w:t>
      </w:r>
      <w:r w:rsidRPr="00304737">
        <w:t>the</w:t>
      </w:r>
      <w:r w:rsidR="002F48D8" w:rsidRPr="00304737">
        <w:t xml:space="preserve"> </w:t>
      </w:r>
      <w:r w:rsidR="00240DEE" w:rsidRPr="00304737">
        <w:t>Class Member, representative</w:t>
      </w:r>
      <w:r w:rsidRPr="00304737">
        <w:t xml:space="preserve"> (if appropriate)</w:t>
      </w:r>
      <w:r w:rsidR="00240DEE" w:rsidRPr="00304737">
        <w:t xml:space="preserve"> and the facility</w:t>
      </w:r>
      <w:r w:rsidR="00671438" w:rsidRPr="00304737">
        <w:t xml:space="preserve"> designee</w:t>
      </w:r>
      <w:r w:rsidR="00240DEE" w:rsidRPr="00304737">
        <w:t>) to identify transition needs, supports, resources, ancillary collaboration, housing preferences, housing searches, etc.</w:t>
      </w:r>
      <w:r w:rsidR="00034782" w:rsidRPr="00304737">
        <w:t>, and establish</w:t>
      </w:r>
      <w:r w:rsidR="001960B8">
        <w:t>es</w:t>
      </w:r>
      <w:r w:rsidR="00034782" w:rsidRPr="00304737">
        <w:t xml:space="preserve"> ongoing engagement with the Class Member. The CMHC facilitates </w:t>
      </w:r>
      <w:r w:rsidRPr="00304737">
        <w:t>the</w:t>
      </w:r>
      <w:r w:rsidR="00034782" w:rsidRPr="00304737">
        <w:t xml:space="preserve"> housing search with the Class Member, based on geographic</w:t>
      </w:r>
      <w:r w:rsidR="001960B8">
        <w:t>al</w:t>
      </w:r>
      <w:r w:rsidR="00034782" w:rsidRPr="00304737">
        <w:t xml:space="preserve"> preference</w:t>
      </w:r>
      <w:r w:rsidRPr="00304737">
        <w:t>, as well as necessary paperwork for processing the housing application and Transition Funds</w:t>
      </w:r>
      <w:r w:rsidR="002F48D8" w:rsidRPr="00304737">
        <w:t>.</w:t>
      </w:r>
      <w:r w:rsidRPr="00304737">
        <w:t xml:space="preserve"> The CMHC</w:t>
      </w:r>
      <w:r w:rsidR="002F48D8" w:rsidRPr="00304737">
        <w:t xml:space="preserve"> </w:t>
      </w:r>
      <w:r w:rsidRPr="00304737">
        <w:t xml:space="preserve">also works with the Class Member on change of benefit, representative payee status (if necessary), coordination of medical appointments and any other ancillary coordination efforts.  </w:t>
      </w:r>
      <w:r w:rsidR="00034782" w:rsidRPr="00304737">
        <w:t xml:space="preserve"> </w:t>
      </w:r>
      <w:r w:rsidRPr="00304737">
        <w:t>C</w:t>
      </w:r>
      <w:r w:rsidR="00240DEE" w:rsidRPr="00304737">
        <w:t xml:space="preserve">lass Members are </w:t>
      </w:r>
      <w:r w:rsidR="002F48D8" w:rsidRPr="00304737">
        <w:t>encouraged to participate in</w:t>
      </w:r>
      <w:r w:rsidR="00240DEE" w:rsidRPr="00304737">
        <w:t xml:space="preserve"> </w:t>
      </w:r>
      <w:r w:rsidR="002F48D8" w:rsidRPr="00304737">
        <w:t xml:space="preserve">the </w:t>
      </w:r>
      <w:r w:rsidR="00240DEE" w:rsidRPr="00304737">
        <w:t xml:space="preserve">Drop-In Centers as </w:t>
      </w:r>
      <w:r w:rsidR="002F48D8" w:rsidRPr="00304737">
        <w:t xml:space="preserve">a </w:t>
      </w:r>
      <w:r w:rsidR="00240DEE" w:rsidRPr="00304737">
        <w:t xml:space="preserve">venue for </w:t>
      </w:r>
      <w:r w:rsidR="002F48D8" w:rsidRPr="00304737">
        <w:t xml:space="preserve">additional </w:t>
      </w:r>
      <w:r w:rsidR="00240DEE" w:rsidRPr="00304737">
        <w:t>support and socialization</w:t>
      </w:r>
      <w:r w:rsidR="002F48D8" w:rsidRPr="00304737">
        <w:t xml:space="preserve"> (pre-transition)</w:t>
      </w:r>
      <w:r w:rsidR="00240DEE" w:rsidRPr="00304737">
        <w:t>, as well as</w:t>
      </w:r>
      <w:r w:rsidR="002F48D8" w:rsidRPr="00304737">
        <w:t xml:space="preserve"> opportunit</w:t>
      </w:r>
      <w:r w:rsidR="001960B8">
        <w:t>ies</w:t>
      </w:r>
      <w:r w:rsidR="002F48D8" w:rsidRPr="00304737">
        <w:t xml:space="preserve"> to familiarize themselves with other </w:t>
      </w:r>
      <w:r w:rsidRPr="00304737">
        <w:t xml:space="preserve">natural </w:t>
      </w:r>
      <w:r w:rsidR="002F48D8" w:rsidRPr="00304737">
        <w:t>community resource options</w:t>
      </w:r>
      <w:r w:rsidR="00240DEE" w:rsidRPr="00304737">
        <w:t xml:space="preserve">.  </w:t>
      </w:r>
      <w:r w:rsidRPr="00304737">
        <w:t xml:space="preserve">CMHCs also convene a </w:t>
      </w:r>
      <w:r w:rsidR="00C60672" w:rsidRPr="00304737">
        <w:t xml:space="preserve">final </w:t>
      </w:r>
      <w:r w:rsidRPr="00304737">
        <w:t>discharge staffing with the Class Member and the facility - to confirm completion of all service plan activities, the discharge date and medication request</w:t>
      </w:r>
      <w:r w:rsidR="00C60672" w:rsidRPr="00304737">
        <w:t>s</w:t>
      </w:r>
      <w:r w:rsidR="004065A2">
        <w:rPr>
          <w:sz w:val="24"/>
          <w:szCs w:val="24"/>
        </w:rPr>
        <w:t>.</w:t>
      </w:r>
      <w:r w:rsidR="00C60672">
        <w:rPr>
          <w:sz w:val="24"/>
          <w:szCs w:val="24"/>
        </w:rPr>
        <w:t xml:space="preserv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 xml:space="preserve">IP must describe methods by which such info will be disseminated, the process by which CMs may request services, and the </w:t>
      </w:r>
      <w:proofErr w:type="gramStart"/>
      <w:r w:rsidRPr="00C6740F">
        <w:rPr>
          <w:i/>
          <w:sz w:val="24"/>
          <w:szCs w:val="24"/>
        </w:rPr>
        <w:t>manner in which</w:t>
      </w:r>
      <w:proofErr w:type="gramEnd"/>
      <w:r w:rsidRPr="00C6740F">
        <w:rPr>
          <w:i/>
          <w:sz w:val="24"/>
          <w:szCs w:val="24"/>
        </w:rPr>
        <w:t xml:space="preserve"> Defendants will maintain current records of these requests. In addition to providing information, Defendants shall ensure that QPs conducting the evaluations engage residents who express concerns about leaving the IMD with appropriate frequency.</w:t>
      </w:r>
    </w:p>
    <w:p w:rsidR="00C6740F" w:rsidRPr="00C6740F" w:rsidRDefault="002F523D"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t xml:space="preserve">  The </w:t>
      </w:r>
      <w:r w:rsidR="00212591">
        <w:t>Implementation Plans and the respective amendments</w:t>
      </w:r>
      <w:r>
        <w:t xml:space="preserve">, since inception, address the </w:t>
      </w:r>
      <w:proofErr w:type="gramStart"/>
      <w:r>
        <w:t>manner in which</w:t>
      </w:r>
      <w:proofErr w:type="gramEnd"/>
      <w:r>
        <w:t xml:space="preserve"> information is disseminated</w:t>
      </w:r>
      <w:r w:rsidR="00295BA0">
        <w:t xml:space="preserve"> and how C</w:t>
      </w:r>
      <w:r>
        <w:t xml:space="preserve">lass Member requests </w:t>
      </w:r>
      <w:r w:rsidR="00295BA0">
        <w:t xml:space="preserve">for services </w:t>
      </w:r>
      <w:r>
        <w:t>(based on medical necessity)</w:t>
      </w:r>
      <w:r w:rsidR="00295BA0">
        <w:t xml:space="preserve"> are handled by the CMHC in accordance with the Medicaid Rule.  </w:t>
      </w:r>
      <w:r w:rsidR="00C6740F" w:rsidRPr="00C6740F">
        <w:rPr>
          <w:i/>
          <w:sz w:val="24"/>
          <w:szCs w:val="24"/>
        </w:rPr>
        <w:t>Describe the mechanisms by which Defendants shall ensure compliance with their obligations under paragraph 10 of this Decree.</w:t>
      </w:r>
    </w:p>
    <w:p w:rsidR="00C6740F" w:rsidRPr="00304737" w:rsidRDefault="00842B47"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The mechan</w:t>
      </w:r>
      <w:r w:rsidR="001960B8">
        <w:t>isms</w:t>
      </w:r>
      <w:r w:rsidRPr="00304737">
        <w:t xml:space="preserve"> of </w:t>
      </w:r>
      <w:r w:rsidR="001960B8">
        <w:t xml:space="preserve">compliance with the obligations under paragraph 10 of the Decree - </w:t>
      </w:r>
      <w:r w:rsidRPr="00304737">
        <w:t xml:space="preserve">operationalizing </w:t>
      </w:r>
      <w:r w:rsidR="001960B8">
        <w:t xml:space="preserve">NAMI </w:t>
      </w:r>
      <w:r w:rsidRPr="00304737">
        <w:t>Outreach Information and Dissemination (including</w:t>
      </w:r>
      <w:r w:rsidR="001960B8">
        <w:t xml:space="preserve"> the use of Ambassadors) </w:t>
      </w:r>
      <w:r w:rsidRPr="00304737">
        <w:t xml:space="preserve">and </w:t>
      </w:r>
      <w:r w:rsidR="001960B8">
        <w:t xml:space="preserve">the </w:t>
      </w:r>
      <w:r w:rsidRPr="00304737">
        <w:t>Resident Review assessments contracted with LSSI and MFS</w:t>
      </w:r>
      <w:r w:rsidR="001960B8">
        <w:t xml:space="preserve"> -</w:t>
      </w:r>
      <w:r w:rsidRPr="00304737">
        <w:t xml:space="preserve"> have been detailed above.</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shall provide Monitor and Plaintiffs with draft IP.</w:t>
      </w:r>
    </w:p>
    <w:p w:rsidR="00C6740F" w:rsidRPr="00304737" w:rsidRDefault="00F23F06"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This compliance indicator was completed in 2011 in accordance with the original implementation plan.  IP</w:t>
      </w:r>
      <w:r w:rsidR="001960B8">
        <w:t>s</w:t>
      </w:r>
      <w:r w:rsidRPr="00304737">
        <w:t xml:space="preserve"> </w:t>
      </w:r>
      <w:r w:rsidR="00BD0D4A">
        <w:t xml:space="preserve">and amendments </w:t>
      </w:r>
      <w:r w:rsidRPr="00304737">
        <w:t>have been completed and submitted accordingly since 2011</w:t>
      </w:r>
      <w:r w:rsidR="00BD0D4A">
        <w:t>, with Monitor and Plaintiffs receiving drafts prior to filing</w:t>
      </w:r>
      <w:r w:rsidRPr="00304737">
        <w:t xml:space="preserv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 xml:space="preserve">The Monitor and Plaintiffs will participate in developing and finalizing the IP, which shall be finalized within 9 months following Approval of the Decree. In the event that </w:t>
      </w:r>
      <w:proofErr w:type="gramStart"/>
      <w:r w:rsidRPr="00C6740F">
        <w:rPr>
          <w:i/>
          <w:sz w:val="24"/>
          <w:szCs w:val="24"/>
        </w:rPr>
        <w:t>Monitor</w:t>
      </w:r>
      <w:proofErr w:type="gramEnd"/>
      <w:r w:rsidRPr="00C6740F">
        <w:rPr>
          <w:i/>
          <w:sz w:val="24"/>
          <w:szCs w:val="24"/>
        </w:rPr>
        <w:t xml:space="preserve"> or Plaintiffs disagree with the Defendants' proposed IP, the matter may be submitted to the Court for resolution.</w:t>
      </w:r>
    </w:p>
    <w:p w:rsidR="00C6740F" w:rsidRPr="00304737" w:rsidRDefault="00F23F06"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This compliance indicator was completed in 2011.</w:t>
      </w:r>
      <w:r w:rsidR="00813D30" w:rsidRPr="00304737">
        <w:t xml:space="preserve">   Subsequently, annual IPs have been finalized and </w:t>
      </w:r>
      <w:r w:rsidR="00842B47" w:rsidRPr="00304737">
        <w:t>entered</w:t>
      </w:r>
      <w:r w:rsidR="001960B8">
        <w:t xml:space="preserve"> each year.</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IP shall be updated and amended annually, or at such earlier intervals as Defendants deem necessary/appropriate. The Monitor and Plaintiffs may review and comment upon any such updates or amendments. In the event the Monitor or Plaintiffs disagree with the Defendants' proposed updates or amendments, the matter may be submitted to the Court for resolution.</w:t>
      </w:r>
    </w:p>
    <w:p w:rsidR="00C6740F" w:rsidRPr="00304737" w:rsidRDefault="00F23F06"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 xml:space="preserve">This compliance indicator has been </w:t>
      </w:r>
      <w:r w:rsidR="00813D30" w:rsidRPr="00304737">
        <w:t xml:space="preserve">continuously </w:t>
      </w:r>
      <w:r w:rsidR="00842B47" w:rsidRPr="00304737">
        <w:t>addressed</w:t>
      </w:r>
      <w:r w:rsidR="008F1F26" w:rsidRPr="00304737">
        <w:t>.   Annual IP</w:t>
      </w:r>
      <w:r w:rsidR="00813D30" w:rsidRPr="00304737">
        <w:t>s</w:t>
      </w:r>
      <w:r w:rsidR="00842B47" w:rsidRPr="00304737">
        <w:t xml:space="preserve"> are completed by defendants</w:t>
      </w:r>
      <w:r w:rsidR="008F1F26" w:rsidRPr="00304737">
        <w:t xml:space="preserve"> and submitted to the </w:t>
      </w:r>
      <w:r w:rsidR="00813D30" w:rsidRPr="00304737">
        <w:t xml:space="preserve">Court Monitor and </w:t>
      </w:r>
      <w:r w:rsidR="008F1F26" w:rsidRPr="00304737">
        <w:t xml:space="preserve">Parties.  </w:t>
      </w:r>
    </w:p>
    <w:p w:rsidR="00C6740F" w:rsidRPr="00C6740F" w:rsidRDefault="00C6740F" w:rsidP="00F22A64">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IP, and all amendments or updates thereto, shall be incorporated into, and become enforceable as part of the Decree.</w:t>
      </w:r>
    </w:p>
    <w:p w:rsidR="00C6740F" w:rsidRPr="00304737" w:rsidRDefault="00F23F06"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 xml:space="preserve">This compliance indicator has been incorporated into </w:t>
      </w:r>
      <w:r w:rsidR="008F1F26" w:rsidRPr="00304737">
        <w:t xml:space="preserve">the ongoing Consent Decree’s </w:t>
      </w:r>
      <w:r w:rsidRPr="00304737">
        <w:t>implementation.</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proofErr w:type="gramStart"/>
      <w:r w:rsidRPr="00C6740F">
        <w:rPr>
          <w:i/>
          <w:sz w:val="24"/>
          <w:szCs w:val="24"/>
        </w:rPr>
        <w:t>In the event that</w:t>
      </w:r>
      <w:proofErr w:type="gramEnd"/>
      <w:r w:rsidRPr="00C6740F">
        <w:rPr>
          <w:i/>
          <w:sz w:val="24"/>
          <w:szCs w:val="24"/>
        </w:rPr>
        <w:t xml:space="preserve"> IMD seeks to discharge CM before appropriate housing is available, including but not limited to circumstances in which an IMD decides to close, Defendants will ensure that those individuals are not left without appropriate housing options based on their preferences, strengths and needs.</w:t>
      </w:r>
    </w:p>
    <w:p w:rsidR="007D43AB" w:rsidRPr="00304737" w:rsidRDefault="003B373D"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rPr>
          <w:i/>
        </w:rPr>
      </w:pPr>
      <w:r w:rsidRPr="00304737">
        <w:t>During this</w:t>
      </w:r>
      <w:r w:rsidR="00347066" w:rsidRPr="00304737">
        <w:t xml:space="preserve"> six</w:t>
      </w:r>
      <w:r w:rsidR="00BD0D4A">
        <w:t>-</w:t>
      </w:r>
      <w:r w:rsidR="00347066" w:rsidRPr="00304737">
        <w:t>month</w:t>
      </w:r>
      <w:r w:rsidRPr="00304737">
        <w:t xml:space="preserve"> period </w:t>
      </w:r>
      <w:r w:rsidR="001019D5" w:rsidRPr="00304737">
        <w:t xml:space="preserve">the </w:t>
      </w:r>
      <w:r w:rsidRPr="00304737">
        <w:t>Illinois Department of Public Health (IDPH)</w:t>
      </w:r>
      <w:r w:rsidR="001019D5" w:rsidRPr="00304737">
        <w:t>, which monitors and surveys compliance in SMHRFs,</w:t>
      </w:r>
      <w:r w:rsidRPr="00304737">
        <w:t xml:space="preserve"> report</w:t>
      </w:r>
      <w:r w:rsidR="001019D5" w:rsidRPr="00304737">
        <w:t>ed</w:t>
      </w:r>
      <w:r w:rsidRPr="00304737">
        <w:t xml:space="preserve"> </w:t>
      </w:r>
      <w:r w:rsidR="006E3A0E" w:rsidRPr="00304737">
        <w:t xml:space="preserve">receipt of </w:t>
      </w:r>
      <w:r w:rsidR="00023276">
        <w:t xml:space="preserve">128 complaints. </w:t>
      </w:r>
      <w:r w:rsidR="001019D5" w:rsidRPr="00304737">
        <w:t>Of these complaints, 29 (23%) were issued anonymously</w:t>
      </w:r>
      <w:r w:rsidR="0061628B" w:rsidRPr="00304737">
        <w:t>,</w:t>
      </w:r>
      <w:r w:rsidR="001019D5" w:rsidRPr="00304737">
        <w:t xml:space="preserve"> and 99 (77%) were non-anonym</w:t>
      </w:r>
      <w:r w:rsidR="00023276">
        <w:t xml:space="preserve">ous (complainant identified). </w:t>
      </w:r>
      <w:r w:rsidR="001019D5" w:rsidRPr="00304737">
        <w:t>Of the</w:t>
      </w:r>
      <w:r w:rsidR="00007C65" w:rsidRPr="00304737">
        <w:t xml:space="preserve"> 29</w:t>
      </w:r>
      <w:r w:rsidR="001019D5" w:rsidRPr="00304737">
        <w:t xml:space="preserve"> anonymous complaints received, 6 have been finalized – 1 substantiated and 5 unsubstantiated</w:t>
      </w:r>
      <w:r w:rsidR="00023276">
        <w:t xml:space="preserve">.  </w:t>
      </w:r>
      <w:r w:rsidR="0061628B" w:rsidRPr="00304737">
        <w:t>The remaining 23</w:t>
      </w:r>
      <w:r w:rsidR="00A54077" w:rsidRPr="00304737">
        <w:t xml:space="preserve"> complaints</w:t>
      </w:r>
      <w:r w:rsidR="0061628B" w:rsidRPr="00304737">
        <w:t xml:space="preserve"> </w:t>
      </w:r>
      <w:r w:rsidR="00023276">
        <w:t xml:space="preserve">are in the review process. </w:t>
      </w:r>
      <w:r w:rsidR="001019D5" w:rsidRPr="00304737">
        <w:t>Likewise, o</w:t>
      </w:r>
      <w:r w:rsidR="00347066" w:rsidRPr="00304737">
        <w:t>f</w:t>
      </w:r>
      <w:r w:rsidR="001019D5" w:rsidRPr="00304737">
        <w:t xml:space="preserve"> the</w:t>
      </w:r>
      <w:r w:rsidR="00007C65" w:rsidRPr="00304737">
        <w:t xml:space="preserve"> 99 non-anonymous complaints</w:t>
      </w:r>
      <w:r w:rsidR="00BD0D4A">
        <w:t xml:space="preserve"> </w:t>
      </w:r>
      <w:r w:rsidR="00007C65" w:rsidRPr="00304737">
        <w:t>received, 24 have been finalized – 3 substant</w:t>
      </w:r>
      <w:r w:rsidR="00023276">
        <w:t xml:space="preserve">iated and 21 unsubstantiated. </w:t>
      </w:r>
      <w:r w:rsidR="006D34B5" w:rsidRPr="00304737">
        <w:t>The</w:t>
      </w:r>
      <w:r w:rsidR="008A73B9" w:rsidRPr="00304737">
        <w:t xml:space="preserve"> </w:t>
      </w:r>
      <w:r w:rsidR="006D34B5" w:rsidRPr="00304737">
        <w:t>remaining</w:t>
      </w:r>
      <w:r w:rsidR="008A73B9" w:rsidRPr="00304737">
        <w:t xml:space="preserve"> </w:t>
      </w:r>
      <w:r w:rsidR="001960B8" w:rsidRPr="00304737">
        <w:t>75</w:t>
      </w:r>
      <w:r w:rsidR="001960B8">
        <w:t xml:space="preserve"> </w:t>
      </w:r>
      <w:r w:rsidR="008A73B9" w:rsidRPr="00304737">
        <w:t>c</w:t>
      </w:r>
      <w:r w:rsidR="001960B8">
        <w:t>o</w:t>
      </w:r>
      <w:r w:rsidR="008A73B9" w:rsidRPr="00304737">
        <w:t>mplaints</w:t>
      </w:r>
      <w:r w:rsidR="00A54077" w:rsidRPr="00304737">
        <w:t xml:space="preserve"> </w:t>
      </w:r>
      <w:r w:rsidR="008A73B9" w:rsidRPr="00304737">
        <w:t>are in varying stages of</w:t>
      </w:r>
      <w:r w:rsidR="00007C65" w:rsidRPr="00304737">
        <w:t xml:space="preserve"> </w:t>
      </w:r>
      <w:r w:rsidR="006D34B5" w:rsidRPr="00304737">
        <w:t>I</w:t>
      </w:r>
      <w:r w:rsidR="001960B8">
        <w:t>D</w:t>
      </w:r>
      <w:r w:rsidR="006D34B5" w:rsidRPr="00304737">
        <w:t>PH</w:t>
      </w:r>
      <w:r w:rsidR="00A54077" w:rsidRPr="00304737">
        <w:t>’s</w:t>
      </w:r>
      <w:r w:rsidR="006D34B5" w:rsidRPr="00304737">
        <w:t xml:space="preserve"> </w:t>
      </w:r>
      <w:r w:rsidR="00007C65" w:rsidRPr="00304737">
        <w:t xml:space="preserve">review </w:t>
      </w:r>
      <w:r w:rsidR="006D34B5" w:rsidRPr="00304737">
        <w:t>and in</w:t>
      </w:r>
      <w:r w:rsidR="00B46395" w:rsidRPr="00304737">
        <w:t>vesti</w:t>
      </w:r>
      <w:r w:rsidR="006D34B5" w:rsidRPr="00304737">
        <w:t xml:space="preserve">gation </w:t>
      </w:r>
      <w:r w:rsidR="00007C65" w:rsidRPr="00304737">
        <w:t>process.</w:t>
      </w:r>
      <w:r w:rsidR="00023276">
        <w:t xml:space="preserve"> </w:t>
      </w:r>
      <w:r w:rsidR="00007C65" w:rsidRPr="00304737">
        <w:t xml:space="preserve">The categories of complaint allegations are listed in Table </w:t>
      </w:r>
      <w:r w:rsidR="00A54077" w:rsidRPr="00304737">
        <w:t>N</w:t>
      </w:r>
      <w:r w:rsidR="00023276">
        <w:t xml:space="preserve">. Note: </w:t>
      </w:r>
      <w:r w:rsidR="00016568" w:rsidRPr="00304737">
        <w:t xml:space="preserve">IDPH does not collect </w:t>
      </w:r>
      <w:r w:rsidR="00A54077" w:rsidRPr="00304737">
        <w:t xml:space="preserve">separate data </w:t>
      </w:r>
      <w:r w:rsidR="00016568" w:rsidRPr="00304737">
        <w:t xml:space="preserve">if a complaint is the result of a perceived or actual threat of retaliation. </w:t>
      </w:r>
      <w:r w:rsidR="00007C65" w:rsidRPr="00304737">
        <w:t xml:space="preserve"> </w:t>
      </w:r>
    </w:p>
    <w:tbl>
      <w:tblPr>
        <w:tblStyle w:val="TableGrid"/>
        <w:tblW w:w="0" w:type="auto"/>
        <w:tblInd w:w="895" w:type="dxa"/>
        <w:tblLook w:val="04A0" w:firstRow="1" w:lastRow="0" w:firstColumn="1" w:lastColumn="0" w:noHBand="0" w:noVBand="1"/>
      </w:tblPr>
      <w:tblGrid>
        <w:gridCol w:w="5580"/>
      </w:tblGrid>
      <w:tr w:rsidR="007D43AB" w:rsidTr="00E56ED0">
        <w:trPr>
          <w:tblHeader/>
        </w:trPr>
        <w:tc>
          <w:tcPr>
            <w:tcW w:w="5580" w:type="dxa"/>
            <w:shd w:val="clear" w:color="auto" w:fill="DDD9C3" w:themeFill="background2" w:themeFillShade="E6"/>
          </w:tcPr>
          <w:p w:rsidR="0061628B" w:rsidRPr="00A54077" w:rsidRDefault="0061628B" w:rsidP="007D43AB">
            <w:pPr>
              <w:jc w:val="center"/>
              <w:rPr>
                <w:b/>
                <w:sz w:val="24"/>
                <w:szCs w:val="24"/>
              </w:rPr>
            </w:pPr>
            <w:r w:rsidRPr="00A54077">
              <w:rPr>
                <w:b/>
                <w:sz w:val="24"/>
                <w:szCs w:val="24"/>
              </w:rPr>
              <w:t xml:space="preserve">Table </w:t>
            </w:r>
            <w:r w:rsidR="00A54077" w:rsidRPr="00A54077">
              <w:rPr>
                <w:b/>
                <w:sz w:val="24"/>
                <w:szCs w:val="24"/>
              </w:rPr>
              <w:t>N</w:t>
            </w:r>
          </w:p>
          <w:p w:rsidR="007D43AB" w:rsidRPr="007D43AB" w:rsidRDefault="007D43AB" w:rsidP="007D43AB">
            <w:pPr>
              <w:jc w:val="center"/>
              <w:rPr>
                <w:sz w:val="24"/>
                <w:szCs w:val="24"/>
              </w:rPr>
            </w:pPr>
            <w:r>
              <w:rPr>
                <w:sz w:val="24"/>
                <w:szCs w:val="24"/>
              </w:rPr>
              <w:t>Allegation History</w:t>
            </w:r>
            <w:r w:rsidR="0061628B">
              <w:rPr>
                <w:sz w:val="24"/>
                <w:szCs w:val="24"/>
              </w:rPr>
              <w:t xml:space="preserve"> for SMHRFs 01/01/18-06/30/18</w:t>
            </w:r>
          </w:p>
        </w:tc>
      </w:tr>
      <w:tr w:rsidR="007D43AB" w:rsidTr="0061628B">
        <w:tc>
          <w:tcPr>
            <w:tcW w:w="5580" w:type="dxa"/>
          </w:tcPr>
          <w:p w:rsidR="007D43AB" w:rsidRPr="0061628B" w:rsidRDefault="007D43AB" w:rsidP="00C6740F">
            <w:pPr>
              <w:rPr>
                <w:sz w:val="24"/>
                <w:szCs w:val="24"/>
              </w:rPr>
            </w:pPr>
            <w:bookmarkStart w:id="2" w:name="_Hlk520293539"/>
            <w:r w:rsidRPr="0061628B">
              <w:rPr>
                <w:sz w:val="24"/>
                <w:szCs w:val="24"/>
              </w:rPr>
              <w:t>Accidents</w:t>
            </w:r>
          </w:p>
        </w:tc>
      </w:tr>
      <w:tr w:rsidR="007D43AB" w:rsidTr="0061628B">
        <w:tc>
          <w:tcPr>
            <w:tcW w:w="5580" w:type="dxa"/>
          </w:tcPr>
          <w:p w:rsidR="007D43AB" w:rsidRPr="0061628B" w:rsidRDefault="007D43AB" w:rsidP="00C6740F">
            <w:pPr>
              <w:rPr>
                <w:sz w:val="24"/>
                <w:szCs w:val="24"/>
              </w:rPr>
            </w:pPr>
            <w:r w:rsidRPr="0061628B">
              <w:rPr>
                <w:sz w:val="24"/>
                <w:szCs w:val="24"/>
              </w:rPr>
              <w:t>Administrative/Personnel</w:t>
            </w:r>
          </w:p>
        </w:tc>
      </w:tr>
      <w:tr w:rsidR="007D43AB" w:rsidTr="0061628B">
        <w:tc>
          <w:tcPr>
            <w:tcW w:w="5580" w:type="dxa"/>
          </w:tcPr>
          <w:p w:rsidR="007D43AB" w:rsidRPr="0061628B" w:rsidRDefault="007D43AB" w:rsidP="00C6740F">
            <w:pPr>
              <w:rPr>
                <w:sz w:val="24"/>
                <w:szCs w:val="24"/>
              </w:rPr>
            </w:pPr>
            <w:r w:rsidRPr="0061628B">
              <w:rPr>
                <w:sz w:val="24"/>
                <w:szCs w:val="24"/>
              </w:rPr>
              <w:t>Admission, Transfer &amp; Discharge Rights</w:t>
            </w:r>
          </w:p>
        </w:tc>
      </w:tr>
      <w:tr w:rsidR="007D43AB" w:rsidTr="0061628B">
        <w:tc>
          <w:tcPr>
            <w:tcW w:w="5580" w:type="dxa"/>
          </w:tcPr>
          <w:p w:rsidR="007D43AB" w:rsidRPr="0061628B" w:rsidRDefault="007D43AB" w:rsidP="00C6740F">
            <w:pPr>
              <w:rPr>
                <w:sz w:val="24"/>
                <w:szCs w:val="24"/>
              </w:rPr>
            </w:pPr>
            <w:r w:rsidRPr="0061628B">
              <w:rPr>
                <w:sz w:val="24"/>
                <w:szCs w:val="24"/>
              </w:rPr>
              <w:t>Death – General</w:t>
            </w:r>
          </w:p>
        </w:tc>
      </w:tr>
      <w:tr w:rsidR="007D43AB" w:rsidTr="0061628B">
        <w:tc>
          <w:tcPr>
            <w:tcW w:w="5580" w:type="dxa"/>
          </w:tcPr>
          <w:p w:rsidR="007D43AB" w:rsidRPr="0061628B" w:rsidRDefault="007D43AB" w:rsidP="00C6740F">
            <w:pPr>
              <w:rPr>
                <w:sz w:val="24"/>
                <w:szCs w:val="24"/>
              </w:rPr>
            </w:pPr>
            <w:r w:rsidRPr="0061628B">
              <w:rPr>
                <w:sz w:val="24"/>
                <w:szCs w:val="24"/>
              </w:rPr>
              <w:t>Dietary Services</w:t>
            </w:r>
          </w:p>
        </w:tc>
      </w:tr>
      <w:tr w:rsidR="007D43AB" w:rsidTr="0061628B">
        <w:tc>
          <w:tcPr>
            <w:tcW w:w="5580" w:type="dxa"/>
          </w:tcPr>
          <w:p w:rsidR="007D43AB" w:rsidRPr="0061628B" w:rsidRDefault="007D43AB" w:rsidP="00C6740F">
            <w:pPr>
              <w:rPr>
                <w:sz w:val="24"/>
                <w:szCs w:val="24"/>
              </w:rPr>
            </w:pPr>
            <w:r w:rsidRPr="0061628B">
              <w:rPr>
                <w:sz w:val="24"/>
                <w:szCs w:val="24"/>
              </w:rPr>
              <w:t>Educational Services</w:t>
            </w:r>
          </w:p>
        </w:tc>
      </w:tr>
      <w:tr w:rsidR="007D43AB" w:rsidTr="0061628B">
        <w:tc>
          <w:tcPr>
            <w:tcW w:w="5580" w:type="dxa"/>
          </w:tcPr>
          <w:p w:rsidR="007D43AB" w:rsidRPr="0061628B" w:rsidRDefault="007D43AB" w:rsidP="00C6740F">
            <w:pPr>
              <w:rPr>
                <w:sz w:val="24"/>
                <w:szCs w:val="24"/>
              </w:rPr>
            </w:pPr>
            <w:r w:rsidRPr="0061628B">
              <w:rPr>
                <w:sz w:val="24"/>
                <w:szCs w:val="24"/>
              </w:rPr>
              <w:t>Falsification of Records/Reports</w:t>
            </w:r>
          </w:p>
        </w:tc>
      </w:tr>
      <w:tr w:rsidR="007D43AB" w:rsidRPr="007D43AB" w:rsidTr="0061628B">
        <w:tc>
          <w:tcPr>
            <w:tcW w:w="5580" w:type="dxa"/>
          </w:tcPr>
          <w:p w:rsidR="007D43AB" w:rsidRPr="0061628B" w:rsidRDefault="007D43AB" w:rsidP="00890731">
            <w:pPr>
              <w:rPr>
                <w:sz w:val="24"/>
                <w:szCs w:val="24"/>
              </w:rPr>
            </w:pPr>
            <w:r w:rsidRPr="0061628B">
              <w:rPr>
                <w:sz w:val="24"/>
                <w:szCs w:val="24"/>
              </w:rPr>
              <w:t>Infection Control</w:t>
            </w:r>
          </w:p>
        </w:tc>
      </w:tr>
      <w:tr w:rsidR="007D43AB" w:rsidTr="0061628B">
        <w:tc>
          <w:tcPr>
            <w:tcW w:w="5580" w:type="dxa"/>
          </w:tcPr>
          <w:p w:rsidR="007D43AB" w:rsidRPr="0061628B" w:rsidRDefault="007D43AB" w:rsidP="00890731">
            <w:pPr>
              <w:rPr>
                <w:sz w:val="24"/>
                <w:szCs w:val="24"/>
              </w:rPr>
            </w:pPr>
            <w:r w:rsidRPr="0061628B">
              <w:rPr>
                <w:sz w:val="24"/>
                <w:szCs w:val="24"/>
              </w:rPr>
              <w:t>Injury of Unknown Injury</w:t>
            </w:r>
          </w:p>
        </w:tc>
      </w:tr>
      <w:tr w:rsidR="007D43AB" w:rsidTr="0061628B">
        <w:tc>
          <w:tcPr>
            <w:tcW w:w="5580" w:type="dxa"/>
          </w:tcPr>
          <w:p w:rsidR="007D43AB" w:rsidRPr="0061628B" w:rsidRDefault="007D43AB" w:rsidP="00890731">
            <w:pPr>
              <w:rPr>
                <w:sz w:val="24"/>
                <w:szCs w:val="24"/>
              </w:rPr>
            </w:pPr>
            <w:r w:rsidRPr="0061628B">
              <w:rPr>
                <w:sz w:val="24"/>
                <w:szCs w:val="24"/>
              </w:rPr>
              <w:t>Misappropriation of Property</w:t>
            </w:r>
          </w:p>
        </w:tc>
      </w:tr>
      <w:tr w:rsidR="007D43AB" w:rsidTr="0061628B">
        <w:tc>
          <w:tcPr>
            <w:tcW w:w="5580" w:type="dxa"/>
          </w:tcPr>
          <w:p w:rsidR="007D43AB" w:rsidRPr="0061628B" w:rsidRDefault="007D43AB" w:rsidP="00890731">
            <w:pPr>
              <w:rPr>
                <w:sz w:val="24"/>
                <w:szCs w:val="24"/>
              </w:rPr>
            </w:pPr>
            <w:r w:rsidRPr="0061628B">
              <w:rPr>
                <w:sz w:val="24"/>
                <w:szCs w:val="24"/>
              </w:rPr>
              <w:t>Nursing Services</w:t>
            </w:r>
          </w:p>
        </w:tc>
      </w:tr>
      <w:tr w:rsidR="007D43AB" w:rsidTr="0061628B">
        <w:tc>
          <w:tcPr>
            <w:tcW w:w="5580" w:type="dxa"/>
          </w:tcPr>
          <w:p w:rsidR="007D43AB" w:rsidRPr="0061628B" w:rsidRDefault="00D14254" w:rsidP="00890731">
            <w:pPr>
              <w:rPr>
                <w:sz w:val="24"/>
                <w:szCs w:val="24"/>
              </w:rPr>
            </w:pPr>
            <w:r w:rsidRPr="0061628B">
              <w:rPr>
                <w:sz w:val="24"/>
                <w:szCs w:val="24"/>
              </w:rPr>
              <w:t>Other</w:t>
            </w:r>
          </w:p>
        </w:tc>
      </w:tr>
      <w:tr w:rsidR="007D43AB" w:rsidTr="0061628B">
        <w:tc>
          <w:tcPr>
            <w:tcW w:w="5580" w:type="dxa"/>
          </w:tcPr>
          <w:p w:rsidR="007D43AB" w:rsidRPr="0061628B" w:rsidRDefault="00D14254" w:rsidP="00890731">
            <w:pPr>
              <w:rPr>
                <w:sz w:val="24"/>
                <w:szCs w:val="24"/>
              </w:rPr>
            </w:pPr>
            <w:r w:rsidRPr="0061628B">
              <w:rPr>
                <w:sz w:val="24"/>
                <w:szCs w:val="24"/>
              </w:rPr>
              <w:t>Other Services</w:t>
            </w:r>
          </w:p>
        </w:tc>
      </w:tr>
      <w:tr w:rsidR="007D43AB" w:rsidTr="0061628B">
        <w:tc>
          <w:tcPr>
            <w:tcW w:w="5580" w:type="dxa"/>
          </w:tcPr>
          <w:p w:rsidR="007D43AB" w:rsidRPr="0061628B" w:rsidRDefault="0061628B" w:rsidP="00890731">
            <w:pPr>
              <w:rPr>
                <w:sz w:val="24"/>
                <w:szCs w:val="24"/>
              </w:rPr>
            </w:pPr>
            <w:r w:rsidRPr="0061628B">
              <w:rPr>
                <w:sz w:val="24"/>
                <w:szCs w:val="24"/>
              </w:rPr>
              <w:t>Pharmaceutical Services</w:t>
            </w:r>
          </w:p>
        </w:tc>
      </w:tr>
      <w:bookmarkEnd w:id="2"/>
      <w:tr w:rsidR="00D14254" w:rsidRPr="007D43AB" w:rsidTr="0061628B">
        <w:tc>
          <w:tcPr>
            <w:tcW w:w="5580" w:type="dxa"/>
          </w:tcPr>
          <w:p w:rsidR="00D14254" w:rsidRPr="0061628B" w:rsidRDefault="0061628B" w:rsidP="00890731">
            <w:pPr>
              <w:rPr>
                <w:sz w:val="24"/>
                <w:szCs w:val="24"/>
              </w:rPr>
            </w:pPr>
            <w:r w:rsidRPr="0061628B">
              <w:rPr>
                <w:sz w:val="24"/>
                <w:szCs w:val="24"/>
              </w:rPr>
              <w:t>Physical Services</w:t>
            </w:r>
          </w:p>
        </w:tc>
      </w:tr>
      <w:tr w:rsidR="00D14254" w:rsidRPr="007D43AB" w:rsidTr="0061628B">
        <w:tc>
          <w:tcPr>
            <w:tcW w:w="5580" w:type="dxa"/>
          </w:tcPr>
          <w:p w:rsidR="00D14254" w:rsidRPr="0061628B" w:rsidRDefault="0061628B" w:rsidP="00890731">
            <w:pPr>
              <w:rPr>
                <w:sz w:val="24"/>
                <w:szCs w:val="24"/>
              </w:rPr>
            </w:pPr>
            <w:r w:rsidRPr="0061628B">
              <w:rPr>
                <w:sz w:val="24"/>
                <w:szCs w:val="24"/>
              </w:rPr>
              <w:t>Quality of Care/Treatment</w:t>
            </w:r>
          </w:p>
        </w:tc>
      </w:tr>
      <w:tr w:rsidR="00D14254" w:rsidRPr="007D43AB" w:rsidTr="0061628B">
        <w:tc>
          <w:tcPr>
            <w:tcW w:w="5580" w:type="dxa"/>
          </w:tcPr>
          <w:p w:rsidR="00D14254" w:rsidRPr="0061628B" w:rsidRDefault="0061628B" w:rsidP="00890731">
            <w:pPr>
              <w:rPr>
                <w:sz w:val="24"/>
                <w:szCs w:val="24"/>
              </w:rPr>
            </w:pPr>
            <w:r w:rsidRPr="0061628B">
              <w:rPr>
                <w:sz w:val="24"/>
                <w:szCs w:val="24"/>
              </w:rPr>
              <w:t>Quality of Life</w:t>
            </w:r>
          </w:p>
        </w:tc>
      </w:tr>
      <w:tr w:rsidR="00D14254" w:rsidTr="0061628B">
        <w:tc>
          <w:tcPr>
            <w:tcW w:w="5580" w:type="dxa"/>
          </w:tcPr>
          <w:p w:rsidR="00D14254" w:rsidRPr="0061628B" w:rsidRDefault="0061628B" w:rsidP="00890731">
            <w:pPr>
              <w:rPr>
                <w:sz w:val="24"/>
                <w:szCs w:val="24"/>
              </w:rPr>
            </w:pPr>
            <w:r w:rsidRPr="0061628B">
              <w:rPr>
                <w:sz w:val="24"/>
                <w:szCs w:val="24"/>
              </w:rPr>
              <w:t>Resident/Patient/Client Abuse</w:t>
            </w:r>
          </w:p>
        </w:tc>
      </w:tr>
      <w:tr w:rsidR="00D14254" w:rsidTr="0061628B">
        <w:tc>
          <w:tcPr>
            <w:tcW w:w="5580" w:type="dxa"/>
          </w:tcPr>
          <w:p w:rsidR="00D14254" w:rsidRPr="0061628B" w:rsidRDefault="0061628B" w:rsidP="00890731">
            <w:pPr>
              <w:rPr>
                <w:sz w:val="24"/>
                <w:szCs w:val="24"/>
              </w:rPr>
            </w:pPr>
            <w:r w:rsidRPr="0061628B">
              <w:rPr>
                <w:sz w:val="24"/>
                <w:szCs w:val="24"/>
              </w:rPr>
              <w:t>Resident/Patient/Client Rights</w:t>
            </w:r>
          </w:p>
        </w:tc>
      </w:tr>
      <w:tr w:rsidR="00D14254" w:rsidTr="0061628B">
        <w:tc>
          <w:tcPr>
            <w:tcW w:w="5580" w:type="dxa"/>
          </w:tcPr>
          <w:p w:rsidR="00D14254" w:rsidRPr="0061628B" w:rsidRDefault="0061628B" w:rsidP="00890731">
            <w:pPr>
              <w:rPr>
                <w:sz w:val="24"/>
                <w:szCs w:val="24"/>
              </w:rPr>
            </w:pPr>
            <w:r w:rsidRPr="0061628B">
              <w:rPr>
                <w:sz w:val="24"/>
                <w:szCs w:val="24"/>
              </w:rPr>
              <w:t>Restraints/Seclusion - General</w:t>
            </w:r>
          </w:p>
        </w:tc>
      </w:tr>
    </w:tbl>
    <w:p w:rsidR="008F1F26" w:rsidRPr="007D43AB" w:rsidRDefault="008F1F26" w:rsidP="00C6740F">
      <w:pPr>
        <w:rPr>
          <w:i/>
          <w:sz w:val="24"/>
          <w:szCs w:val="24"/>
        </w:rPr>
      </w:pPr>
    </w:p>
    <w:p w:rsidR="007D43AB" w:rsidRPr="00304737" w:rsidRDefault="006D34B5" w:rsidP="00C6740F">
      <w:pPr>
        <w:rPr>
          <w:b/>
        </w:rPr>
      </w:pPr>
      <w:r w:rsidRPr="00304737">
        <w:t xml:space="preserve">There were </w:t>
      </w:r>
      <w:r w:rsidR="007D43AB" w:rsidRPr="00304737">
        <w:t xml:space="preserve">74 Williams Class Members </w:t>
      </w:r>
      <w:r w:rsidRPr="00304737">
        <w:t xml:space="preserve">who </w:t>
      </w:r>
      <w:r w:rsidR="007D43AB" w:rsidRPr="00304737">
        <w:t xml:space="preserve">received </w:t>
      </w:r>
      <w:r w:rsidRPr="00304737">
        <w:t xml:space="preserve">a </w:t>
      </w:r>
      <w:r w:rsidR="007D43AB" w:rsidRPr="00304737">
        <w:t>Notice of Involuntary T</w:t>
      </w:r>
      <w:r w:rsidRPr="00304737">
        <w:t>ransfer</w:t>
      </w:r>
      <w:r w:rsidR="007D43AB" w:rsidRPr="00304737">
        <w:t xml:space="preserve"> o</w:t>
      </w:r>
      <w:r w:rsidRPr="00304737">
        <w:t>r</w:t>
      </w:r>
      <w:r w:rsidR="007D43AB" w:rsidRPr="00304737">
        <w:t xml:space="preserve"> Discharge (ITD)</w:t>
      </w:r>
      <w:r w:rsidRPr="00304737">
        <w:t xml:space="preserve"> from one of the 24 SMH</w:t>
      </w:r>
      <w:r w:rsidR="00A54077" w:rsidRPr="00304737">
        <w:t>R</w:t>
      </w:r>
      <w:r w:rsidRPr="00304737">
        <w:t>Fs</w:t>
      </w:r>
      <w:r w:rsidR="000B43C8">
        <w:t xml:space="preserve">. </w:t>
      </w:r>
      <w:r w:rsidR="007D43AB" w:rsidRPr="00304737">
        <w:t xml:space="preserve">ITDs are issued </w:t>
      </w:r>
      <w:r w:rsidRPr="00304737">
        <w:t xml:space="preserve">in accordance to the </w:t>
      </w:r>
      <w:r w:rsidR="007D43AB" w:rsidRPr="00304737">
        <w:t xml:space="preserve">reasons </w:t>
      </w:r>
      <w:r w:rsidRPr="00304737">
        <w:t>categori</w:t>
      </w:r>
      <w:r w:rsidR="00347066" w:rsidRPr="00304737">
        <w:t xml:space="preserve">zed </w:t>
      </w:r>
      <w:r w:rsidR="007D43AB" w:rsidRPr="00304737">
        <w:t>in Table</w:t>
      </w:r>
      <w:r w:rsidR="00A54077" w:rsidRPr="00304737">
        <w:t xml:space="preserve"> O</w:t>
      </w:r>
      <w:r w:rsidR="00347066" w:rsidRPr="00304737">
        <w:t>.</w:t>
      </w:r>
      <w:r w:rsidR="00550A7D" w:rsidRPr="00304737">
        <w:t xml:space="preserve">  IDPH </w:t>
      </w:r>
      <w:r w:rsidR="00054377">
        <w:t xml:space="preserve">advises that they have no authority to </w:t>
      </w:r>
      <w:r w:rsidR="00550A7D" w:rsidRPr="00304737">
        <w:t>track Class Member</w:t>
      </w:r>
      <w:r w:rsidR="004A6C96">
        <w:t>s</w:t>
      </w:r>
      <w:r w:rsidR="00550A7D" w:rsidRPr="00304737">
        <w:t xml:space="preserve"> </w:t>
      </w:r>
      <w:r w:rsidR="00A54077" w:rsidRPr="00304737">
        <w:t>on</w:t>
      </w:r>
      <w:r w:rsidR="004A6C96">
        <w:t>c</w:t>
      </w:r>
      <w:r w:rsidR="00A54077" w:rsidRPr="00304737">
        <w:t xml:space="preserve">e they </w:t>
      </w:r>
      <w:r w:rsidR="00550A7D" w:rsidRPr="00304737">
        <w:t>leave the</w:t>
      </w:r>
      <w:r w:rsidR="00054377">
        <w:t xml:space="preserve"> licensed</w:t>
      </w:r>
      <w:r w:rsidR="00550A7D" w:rsidRPr="00304737">
        <w:t xml:space="preserve"> facility.</w:t>
      </w:r>
      <w:r w:rsidRPr="00304737">
        <w:t xml:space="preserve">   </w:t>
      </w:r>
    </w:p>
    <w:p w:rsidR="001F095C" w:rsidRPr="001F095C" w:rsidRDefault="00347066" w:rsidP="00C6740F">
      <w:pPr>
        <w:rPr>
          <w:sz w:val="24"/>
          <w:szCs w:val="24"/>
        </w:rPr>
      </w:pPr>
      <w:r w:rsidRPr="00A54077">
        <w:rPr>
          <w:b/>
          <w:sz w:val="24"/>
          <w:szCs w:val="24"/>
        </w:rPr>
        <w:t>Table</w:t>
      </w:r>
      <w:r w:rsidR="00A54077" w:rsidRPr="00A54077">
        <w:rPr>
          <w:b/>
          <w:sz w:val="24"/>
          <w:szCs w:val="24"/>
        </w:rPr>
        <w:t xml:space="preserve"> O </w:t>
      </w:r>
      <w:bookmarkStart w:id="3" w:name="_Hlk520466953"/>
      <w:r w:rsidR="004A6C96">
        <w:rPr>
          <w:b/>
          <w:sz w:val="24"/>
          <w:szCs w:val="24"/>
        </w:rPr>
        <w:tab/>
      </w:r>
      <w:r w:rsidR="004A6C96">
        <w:rPr>
          <w:b/>
          <w:sz w:val="24"/>
          <w:szCs w:val="24"/>
        </w:rPr>
        <w:tab/>
      </w:r>
      <w:r w:rsidR="001F095C">
        <w:rPr>
          <w:sz w:val="24"/>
          <w:szCs w:val="24"/>
        </w:rPr>
        <w:t>N = 74</w:t>
      </w:r>
    </w:p>
    <w:tbl>
      <w:tblPr>
        <w:tblStyle w:val="TableGrid"/>
        <w:tblW w:w="0" w:type="auto"/>
        <w:tblInd w:w="895" w:type="dxa"/>
        <w:tblLook w:val="04A0" w:firstRow="1" w:lastRow="0" w:firstColumn="1" w:lastColumn="0" w:noHBand="0" w:noVBand="1"/>
      </w:tblPr>
      <w:tblGrid>
        <w:gridCol w:w="1170"/>
        <w:gridCol w:w="3600"/>
        <w:gridCol w:w="2250"/>
        <w:gridCol w:w="1530"/>
      </w:tblGrid>
      <w:tr w:rsidR="007D43AB" w:rsidTr="00506361">
        <w:trPr>
          <w:tblHeader/>
        </w:trPr>
        <w:tc>
          <w:tcPr>
            <w:tcW w:w="1170" w:type="dxa"/>
            <w:shd w:val="clear" w:color="auto" w:fill="DDD9C3" w:themeFill="background2" w:themeFillShade="E6"/>
          </w:tcPr>
          <w:p w:rsidR="007D43AB" w:rsidRDefault="007D43AB" w:rsidP="00890731">
            <w:pPr>
              <w:jc w:val="center"/>
              <w:rPr>
                <w:sz w:val="24"/>
                <w:szCs w:val="24"/>
              </w:rPr>
            </w:pPr>
          </w:p>
        </w:tc>
        <w:tc>
          <w:tcPr>
            <w:tcW w:w="3600" w:type="dxa"/>
            <w:shd w:val="clear" w:color="auto" w:fill="DDD9C3" w:themeFill="background2" w:themeFillShade="E6"/>
          </w:tcPr>
          <w:p w:rsidR="007D43AB" w:rsidRDefault="007D43AB" w:rsidP="00890731">
            <w:pPr>
              <w:jc w:val="center"/>
              <w:rPr>
                <w:sz w:val="24"/>
                <w:szCs w:val="24"/>
              </w:rPr>
            </w:pPr>
            <w:r>
              <w:rPr>
                <w:sz w:val="24"/>
                <w:szCs w:val="24"/>
              </w:rPr>
              <w:t>Reasons for Discharge</w:t>
            </w:r>
          </w:p>
        </w:tc>
        <w:tc>
          <w:tcPr>
            <w:tcW w:w="2250" w:type="dxa"/>
            <w:shd w:val="clear" w:color="auto" w:fill="DDD9C3" w:themeFill="background2" w:themeFillShade="E6"/>
          </w:tcPr>
          <w:p w:rsidR="007D43AB" w:rsidRDefault="007D43AB" w:rsidP="00890731">
            <w:pPr>
              <w:jc w:val="center"/>
              <w:rPr>
                <w:sz w:val="24"/>
                <w:szCs w:val="24"/>
              </w:rPr>
            </w:pPr>
            <w:r>
              <w:rPr>
                <w:sz w:val="24"/>
                <w:szCs w:val="24"/>
              </w:rPr>
              <w:t>Number Discharged</w:t>
            </w:r>
          </w:p>
        </w:tc>
        <w:tc>
          <w:tcPr>
            <w:tcW w:w="1530" w:type="dxa"/>
            <w:shd w:val="clear" w:color="auto" w:fill="DDD9C3" w:themeFill="background2" w:themeFillShade="E6"/>
          </w:tcPr>
          <w:p w:rsidR="007D43AB" w:rsidRDefault="007D43AB" w:rsidP="00550A7D">
            <w:pPr>
              <w:jc w:val="center"/>
              <w:rPr>
                <w:sz w:val="24"/>
                <w:szCs w:val="24"/>
              </w:rPr>
            </w:pPr>
            <w:r>
              <w:rPr>
                <w:sz w:val="24"/>
                <w:szCs w:val="24"/>
              </w:rPr>
              <w:t>Percentages</w:t>
            </w:r>
          </w:p>
        </w:tc>
      </w:tr>
      <w:tr w:rsidR="00066E8A" w:rsidTr="00066E8A">
        <w:trPr>
          <w:trHeight w:val="98"/>
        </w:trPr>
        <w:tc>
          <w:tcPr>
            <w:tcW w:w="1170" w:type="dxa"/>
            <w:shd w:val="clear" w:color="auto" w:fill="262626" w:themeFill="text1" w:themeFillTint="D9"/>
          </w:tcPr>
          <w:p w:rsidR="00066E8A" w:rsidRPr="008F1F26" w:rsidRDefault="00066E8A" w:rsidP="00066E8A">
            <w:pPr>
              <w:rPr>
                <w:i/>
                <w:sz w:val="24"/>
                <w:szCs w:val="24"/>
              </w:rPr>
            </w:pPr>
          </w:p>
        </w:tc>
        <w:tc>
          <w:tcPr>
            <w:tcW w:w="3600" w:type="dxa"/>
            <w:shd w:val="clear" w:color="auto" w:fill="262626" w:themeFill="text1" w:themeFillTint="D9"/>
          </w:tcPr>
          <w:p w:rsidR="00066E8A" w:rsidRDefault="00066E8A" w:rsidP="00066E8A">
            <w:pPr>
              <w:rPr>
                <w:sz w:val="24"/>
                <w:szCs w:val="24"/>
              </w:rPr>
            </w:pPr>
          </w:p>
        </w:tc>
        <w:tc>
          <w:tcPr>
            <w:tcW w:w="2250" w:type="dxa"/>
            <w:shd w:val="clear" w:color="auto" w:fill="262626" w:themeFill="text1" w:themeFillTint="D9"/>
          </w:tcPr>
          <w:p w:rsidR="00066E8A" w:rsidRDefault="00066E8A" w:rsidP="00066E8A">
            <w:pPr>
              <w:jc w:val="center"/>
              <w:rPr>
                <w:sz w:val="24"/>
                <w:szCs w:val="24"/>
              </w:rPr>
            </w:pPr>
          </w:p>
        </w:tc>
        <w:tc>
          <w:tcPr>
            <w:tcW w:w="1530" w:type="dxa"/>
            <w:shd w:val="clear" w:color="auto" w:fill="262626" w:themeFill="text1" w:themeFillTint="D9"/>
          </w:tcPr>
          <w:p w:rsidR="00066E8A" w:rsidRDefault="00066E8A" w:rsidP="00066E8A">
            <w:pPr>
              <w:jc w:val="center"/>
              <w:rPr>
                <w:sz w:val="24"/>
                <w:szCs w:val="24"/>
              </w:rPr>
            </w:pPr>
          </w:p>
        </w:tc>
      </w:tr>
      <w:tr w:rsidR="00066E8A" w:rsidTr="002A512C">
        <w:tc>
          <w:tcPr>
            <w:tcW w:w="1170" w:type="dxa"/>
          </w:tcPr>
          <w:p w:rsidR="00066E8A" w:rsidRPr="008F1F26" w:rsidRDefault="00066E8A" w:rsidP="00066E8A">
            <w:pPr>
              <w:rPr>
                <w:i/>
                <w:sz w:val="24"/>
                <w:szCs w:val="24"/>
              </w:rPr>
            </w:pPr>
            <w:r w:rsidRPr="008F1F26">
              <w:rPr>
                <w:i/>
                <w:sz w:val="24"/>
                <w:szCs w:val="24"/>
              </w:rPr>
              <w:t>State</w:t>
            </w:r>
          </w:p>
        </w:tc>
        <w:tc>
          <w:tcPr>
            <w:tcW w:w="3600" w:type="dxa"/>
          </w:tcPr>
          <w:p w:rsidR="00066E8A" w:rsidRDefault="00066E8A" w:rsidP="00066E8A">
            <w:pPr>
              <w:rPr>
                <w:sz w:val="24"/>
                <w:szCs w:val="24"/>
              </w:rPr>
            </w:pPr>
            <w:r>
              <w:rPr>
                <w:sz w:val="24"/>
                <w:szCs w:val="24"/>
              </w:rPr>
              <w:t>Medical Reasons</w:t>
            </w:r>
          </w:p>
        </w:tc>
        <w:tc>
          <w:tcPr>
            <w:tcW w:w="2250" w:type="dxa"/>
          </w:tcPr>
          <w:p w:rsidR="00066E8A" w:rsidRDefault="001112F7" w:rsidP="00162337">
            <w:pPr>
              <w:jc w:val="center"/>
              <w:rPr>
                <w:sz w:val="24"/>
                <w:szCs w:val="24"/>
              </w:rPr>
            </w:pPr>
            <w:r>
              <w:rPr>
                <w:sz w:val="24"/>
                <w:szCs w:val="24"/>
              </w:rPr>
              <w:t>18</w:t>
            </w:r>
          </w:p>
        </w:tc>
        <w:tc>
          <w:tcPr>
            <w:tcW w:w="1530" w:type="dxa"/>
          </w:tcPr>
          <w:p w:rsidR="00066E8A" w:rsidRDefault="00E76FCB" w:rsidP="00066E8A">
            <w:pPr>
              <w:jc w:val="center"/>
              <w:rPr>
                <w:sz w:val="24"/>
                <w:szCs w:val="24"/>
              </w:rPr>
            </w:pPr>
            <w:r>
              <w:rPr>
                <w:sz w:val="24"/>
                <w:szCs w:val="24"/>
              </w:rPr>
              <w:t xml:space="preserve">24%  </w:t>
            </w:r>
          </w:p>
        </w:tc>
      </w:tr>
      <w:tr w:rsidR="00066E8A" w:rsidTr="002A512C">
        <w:tc>
          <w:tcPr>
            <w:tcW w:w="1170" w:type="dxa"/>
          </w:tcPr>
          <w:p w:rsidR="00066E8A" w:rsidRPr="008F1F26" w:rsidRDefault="00066E8A" w:rsidP="00066E8A">
            <w:pPr>
              <w:rPr>
                <w:i/>
                <w:sz w:val="24"/>
                <w:szCs w:val="24"/>
              </w:rPr>
            </w:pPr>
            <w:r w:rsidRPr="008F1F26">
              <w:rPr>
                <w:i/>
                <w:sz w:val="24"/>
                <w:szCs w:val="24"/>
              </w:rPr>
              <w:t>State</w:t>
            </w:r>
          </w:p>
        </w:tc>
        <w:tc>
          <w:tcPr>
            <w:tcW w:w="3600" w:type="dxa"/>
          </w:tcPr>
          <w:p w:rsidR="00066E8A" w:rsidRDefault="00066E8A" w:rsidP="00066E8A">
            <w:pPr>
              <w:rPr>
                <w:sz w:val="24"/>
                <w:szCs w:val="24"/>
              </w:rPr>
            </w:pPr>
            <w:r>
              <w:rPr>
                <w:sz w:val="24"/>
                <w:szCs w:val="24"/>
              </w:rPr>
              <w:t>Physical Safety</w:t>
            </w:r>
          </w:p>
        </w:tc>
        <w:tc>
          <w:tcPr>
            <w:tcW w:w="2250" w:type="dxa"/>
          </w:tcPr>
          <w:p w:rsidR="00066E8A" w:rsidRDefault="00066E8A" w:rsidP="00162337">
            <w:pPr>
              <w:jc w:val="center"/>
              <w:rPr>
                <w:sz w:val="24"/>
                <w:szCs w:val="24"/>
              </w:rPr>
            </w:pPr>
            <w:r>
              <w:rPr>
                <w:sz w:val="24"/>
                <w:szCs w:val="24"/>
              </w:rPr>
              <w:t>1</w:t>
            </w:r>
          </w:p>
        </w:tc>
        <w:tc>
          <w:tcPr>
            <w:tcW w:w="1530" w:type="dxa"/>
          </w:tcPr>
          <w:p w:rsidR="00066E8A" w:rsidRDefault="00066E8A" w:rsidP="00066E8A">
            <w:pPr>
              <w:jc w:val="center"/>
              <w:rPr>
                <w:sz w:val="24"/>
                <w:szCs w:val="24"/>
              </w:rPr>
            </w:pPr>
            <w:r>
              <w:rPr>
                <w:sz w:val="24"/>
                <w:szCs w:val="24"/>
              </w:rPr>
              <w:t>1%</w:t>
            </w:r>
          </w:p>
        </w:tc>
      </w:tr>
      <w:tr w:rsidR="00066E8A" w:rsidTr="002A512C">
        <w:tc>
          <w:tcPr>
            <w:tcW w:w="1170" w:type="dxa"/>
          </w:tcPr>
          <w:p w:rsidR="00066E8A" w:rsidRPr="008F1F26" w:rsidRDefault="00066E8A" w:rsidP="00066E8A">
            <w:pPr>
              <w:rPr>
                <w:i/>
                <w:sz w:val="24"/>
                <w:szCs w:val="24"/>
              </w:rPr>
            </w:pPr>
            <w:r w:rsidRPr="008F1F26">
              <w:rPr>
                <w:i/>
                <w:sz w:val="24"/>
                <w:szCs w:val="24"/>
              </w:rPr>
              <w:t>State</w:t>
            </w:r>
          </w:p>
        </w:tc>
        <w:tc>
          <w:tcPr>
            <w:tcW w:w="3600" w:type="dxa"/>
          </w:tcPr>
          <w:p w:rsidR="00066E8A" w:rsidRDefault="00066E8A" w:rsidP="00066E8A">
            <w:pPr>
              <w:rPr>
                <w:sz w:val="24"/>
                <w:szCs w:val="24"/>
              </w:rPr>
            </w:pPr>
            <w:r>
              <w:rPr>
                <w:sz w:val="24"/>
                <w:szCs w:val="24"/>
              </w:rPr>
              <w:t>Physical Safety of Others</w:t>
            </w:r>
          </w:p>
        </w:tc>
        <w:tc>
          <w:tcPr>
            <w:tcW w:w="2250" w:type="dxa"/>
          </w:tcPr>
          <w:p w:rsidR="00066E8A" w:rsidRDefault="00E76FCB" w:rsidP="00162337">
            <w:pPr>
              <w:jc w:val="center"/>
              <w:rPr>
                <w:sz w:val="24"/>
                <w:szCs w:val="24"/>
              </w:rPr>
            </w:pPr>
            <w:r>
              <w:rPr>
                <w:sz w:val="24"/>
                <w:szCs w:val="24"/>
              </w:rPr>
              <w:t xml:space="preserve">  46</w:t>
            </w:r>
          </w:p>
        </w:tc>
        <w:tc>
          <w:tcPr>
            <w:tcW w:w="1530" w:type="dxa"/>
          </w:tcPr>
          <w:p w:rsidR="00066E8A" w:rsidRDefault="00E76FCB" w:rsidP="00066E8A">
            <w:pPr>
              <w:jc w:val="center"/>
              <w:rPr>
                <w:sz w:val="24"/>
                <w:szCs w:val="24"/>
              </w:rPr>
            </w:pPr>
            <w:r>
              <w:rPr>
                <w:sz w:val="24"/>
                <w:szCs w:val="24"/>
              </w:rPr>
              <w:t xml:space="preserve">62%  </w:t>
            </w:r>
          </w:p>
        </w:tc>
      </w:tr>
      <w:tr w:rsidR="00066E8A" w:rsidTr="002A512C">
        <w:tc>
          <w:tcPr>
            <w:tcW w:w="1170" w:type="dxa"/>
          </w:tcPr>
          <w:p w:rsidR="00066E8A" w:rsidRPr="008F1F26" w:rsidRDefault="00066E8A" w:rsidP="00066E8A">
            <w:pPr>
              <w:rPr>
                <w:i/>
                <w:sz w:val="24"/>
                <w:szCs w:val="24"/>
              </w:rPr>
            </w:pPr>
            <w:r>
              <w:rPr>
                <w:i/>
                <w:sz w:val="24"/>
                <w:szCs w:val="24"/>
              </w:rPr>
              <w:t>State</w:t>
            </w:r>
          </w:p>
        </w:tc>
        <w:tc>
          <w:tcPr>
            <w:tcW w:w="3600" w:type="dxa"/>
          </w:tcPr>
          <w:p w:rsidR="00066E8A" w:rsidRDefault="00066E8A" w:rsidP="00066E8A">
            <w:pPr>
              <w:rPr>
                <w:sz w:val="24"/>
                <w:szCs w:val="24"/>
              </w:rPr>
            </w:pPr>
            <w:r>
              <w:rPr>
                <w:sz w:val="24"/>
                <w:szCs w:val="24"/>
              </w:rPr>
              <w:t>Late/non</w:t>
            </w:r>
            <w:r w:rsidR="00337CA3">
              <w:rPr>
                <w:sz w:val="24"/>
                <w:szCs w:val="24"/>
              </w:rPr>
              <w:t>-</w:t>
            </w:r>
            <w:r>
              <w:rPr>
                <w:sz w:val="24"/>
                <w:szCs w:val="24"/>
              </w:rPr>
              <w:t>Payment</w:t>
            </w:r>
          </w:p>
        </w:tc>
        <w:tc>
          <w:tcPr>
            <w:tcW w:w="2250" w:type="dxa"/>
          </w:tcPr>
          <w:p w:rsidR="00066E8A" w:rsidRDefault="00E76FCB" w:rsidP="00162337">
            <w:pPr>
              <w:jc w:val="center"/>
              <w:rPr>
                <w:sz w:val="24"/>
                <w:szCs w:val="24"/>
              </w:rPr>
            </w:pPr>
            <w:r>
              <w:rPr>
                <w:sz w:val="24"/>
                <w:szCs w:val="24"/>
              </w:rPr>
              <w:t>7</w:t>
            </w:r>
          </w:p>
        </w:tc>
        <w:tc>
          <w:tcPr>
            <w:tcW w:w="1530" w:type="dxa"/>
          </w:tcPr>
          <w:p w:rsidR="00066E8A" w:rsidRDefault="00E76FCB" w:rsidP="00066E8A">
            <w:pPr>
              <w:jc w:val="center"/>
              <w:rPr>
                <w:sz w:val="24"/>
                <w:szCs w:val="24"/>
              </w:rPr>
            </w:pPr>
            <w:r>
              <w:rPr>
                <w:sz w:val="24"/>
                <w:szCs w:val="24"/>
              </w:rPr>
              <w:t xml:space="preserve">9%  </w:t>
            </w:r>
          </w:p>
        </w:tc>
      </w:tr>
      <w:tr w:rsidR="00066E8A" w:rsidTr="002A512C">
        <w:tc>
          <w:tcPr>
            <w:tcW w:w="1170" w:type="dxa"/>
          </w:tcPr>
          <w:p w:rsidR="00066E8A" w:rsidRPr="008F1F26" w:rsidRDefault="00066E8A" w:rsidP="00066E8A">
            <w:pPr>
              <w:rPr>
                <w:i/>
                <w:sz w:val="24"/>
                <w:szCs w:val="24"/>
              </w:rPr>
            </w:pPr>
          </w:p>
        </w:tc>
        <w:tc>
          <w:tcPr>
            <w:tcW w:w="3600" w:type="dxa"/>
          </w:tcPr>
          <w:p w:rsidR="00066E8A" w:rsidRDefault="00066E8A" w:rsidP="00066E8A">
            <w:pPr>
              <w:rPr>
                <w:sz w:val="24"/>
                <w:szCs w:val="24"/>
              </w:rPr>
            </w:pPr>
            <w:r>
              <w:rPr>
                <w:sz w:val="24"/>
                <w:szCs w:val="24"/>
              </w:rPr>
              <w:t>Reason Not Provided</w:t>
            </w:r>
          </w:p>
        </w:tc>
        <w:tc>
          <w:tcPr>
            <w:tcW w:w="2250" w:type="dxa"/>
          </w:tcPr>
          <w:p w:rsidR="00066E8A" w:rsidRDefault="00066E8A" w:rsidP="00162337">
            <w:pPr>
              <w:jc w:val="center"/>
              <w:rPr>
                <w:sz w:val="24"/>
                <w:szCs w:val="24"/>
              </w:rPr>
            </w:pPr>
            <w:r>
              <w:rPr>
                <w:sz w:val="24"/>
                <w:szCs w:val="24"/>
              </w:rPr>
              <w:t>2</w:t>
            </w:r>
          </w:p>
        </w:tc>
        <w:tc>
          <w:tcPr>
            <w:tcW w:w="1530" w:type="dxa"/>
          </w:tcPr>
          <w:p w:rsidR="00066E8A" w:rsidRDefault="00066E8A" w:rsidP="00066E8A">
            <w:pPr>
              <w:jc w:val="center"/>
              <w:rPr>
                <w:sz w:val="24"/>
                <w:szCs w:val="24"/>
              </w:rPr>
            </w:pPr>
            <w:r>
              <w:rPr>
                <w:sz w:val="24"/>
                <w:szCs w:val="24"/>
              </w:rPr>
              <w:t>3%</w:t>
            </w:r>
          </w:p>
        </w:tc>
      </w:tr>
      <w:bookmarkEnd w:id="3"/>
    </w:tbl>
    <w:p w:rsidR="00304737" w:rsidRDefault="00304737" w:rsidP="00C6740F">
      <w:pPr>
        <w:rPr>
          <w:b/>
          <w:sz w:val="24"/>
          <w:szCs w:val="24"/>
        </w:rPr>
      </w:pPr>
    </w:p>
    <w:p w:rsidR="00A72945" w:rsidRDefault="00295BA0" w:rsidP="00C6740F">
      <w:pPr>
        <w:rPr>
          <w:b/>
          <w:sz w:val="24"/>
          <w:szCs w:val="24"/>
        </w:rPr>
      </w:pPr>
      <w:r>
        <w:rPr>
          <w:b/>
          <w:sz w:val="24"/>
          <w:szCs w:val="24"/>
        </w:rPr>
        <w:t>IDPH confirms that t</w:t>
      </w:r>
      <w:r w:rsidR="00A72945">
        <w:rPr>
          <w:b/>
          <w:sz w:val="24"/>
          <w:szCs w:val="24"/>
        </w:rPr>
        <w:t xml:space="preserve">he SMHRFs facilities are licensed only.  There </w:t>
      </w:r>
      <w:r w:rsidR="000D31B3">
        <w:rPr>
          <w:b/>
          <w:sz w:val="24"/>
          <w:szCs w:val="24"/>
        </w:rPr>
        <w:t>is</w:t>
      </w:r>
      <w:r w:rsidR="00A72945">
        <w:rPr>
          <w:b/>
          <w:sz w:val="24"/>
          <w:szCs w:val="24"/>
        </w:rPr>
        <w:t xml:space="preserve"> no federal certification.   Therefore, </w:t>
      </w:r>
      <w:r>
        <w:rPr>
          <w:b/>
          <w:sz w:val="24"/>
          <w:szCs w:val="24"/>
        </w:rPr>
        <w:t xml:space="preserve">only </w:t>
      </w:r>
      <w:r w:rsidR="00A72945">
        <w:rPr>
          <w:b/>
          <w:sz w:val="24"/>
          <w:szCs w:val="24"/>
        </w:rPr>
        <w:t>the State mandates are followed.</w:t>
      </w:r>
    </w:p>
    <w:p w:rsidR="00A72945" w:rsidRDefault="00A72945" w:rsidP="00C6740F">
      <w:pPr>
        <w:rPr>
          <w:b/>
          <w:sz w:val="24"/>
          <w:szCs w:val="24"/>
        </w:rPr>
      </w:pPr>
    </w:p>
    <w:p w:rsidR="00C6740F" w:rsidRDefault="00C6740F" w:rsidP="00C6740F">
      <w:pPr>
        <w:rPr>
          <w:sz w:val="24"/>
          <w:szCs w:val="24"/>
        </w:rPr>
      </w:pPr>
      <w:r w:rsidRPr="00C6740F">
        <w:rPr>
          <w:b/>
          <w:sz w:val="24"/>
          <w:szCs w:val="24"/>
        </w:rPr>
        <w:t>Monitoring/Compliance</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 xml:space="preserve">The Parties will attempt to agree on the selection of a Monitor to propose to the Court. If the Parties are unable to reach agreement, each party will nominate one person to serve as Monitor and the Court will select the Monitor. Within 21 days of the Approval of the Decree, the Parties shall submit their joint recommendation or separate nominations for Monitor to the Court. </w:t>
      </w:r>
      <w:proofErr w:type="gramStart"/>
      <w:r w:rsidRPr="00C6740F">
        <w:rPr>
          <w:i/>
          <w:sz w:val="24"/>
          <w:szCs w:val="24"/>
        </w:rPr>
        <w:t>In the event that</w:t>
      </w:r>
      <w:proofErr w:type="gramEnd"/>
      <w:r w:rsidRPr="00C6740F">
        <w:rPr>
          <w:i/>
          <w:sz w:val="24"/>
          <w:szCs w:val="24"/>
        </w:rPr>
        <w:t xml:space="preserve"> the Monitor resigns or otherwise becomes unavailable, the process described above will be used to select a replacement.</w:t>
      </w:r>
    </w:p>
    <w:p w:rsidR="00C6740F" w:rsidRPr="00304737" w:rsidRDefault="00BA381D"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The p</w:t>
      </w:r>
      <w:r w:rsidR="00F23F06" w:rsidRPr="00304737">
        <w:t>rocess</w:t>
      </w:r>
      <w:r w:rsidRPr="00304737">
        <w:t>es</w:t>
      </w:r>
      <w:r w:rsidR="00AA7FB3" w:rsidRPr="00304737">
        <w:t xml:space="preserve"> to</w:t>
      </w:r>
      <w:r w:rsidRPr="00304737">
        <w:t xml:space="preserve"> review </w:t>
      </w:r>
      <w:r w:rsidR="00A54077" w:rsidRPr="00304737">
        <w:t xml:space="preserve">applicant </w:t>
      </w:r>
      <w:r w:rsidRPr="00304737">
        <w:t xml:space="preserve">resumes, interview candidates and make recommendations for </w:t>
      </w:r>
      <w:r w:rsidR="00016568" w:rsidRPr="00304737">
        <w:t xml:space="preserve">the </w:t>
      </w:r>
      <w:r w:rsidR="00A54077" w:rsidRPr="00304737">
        <w:t xml:space="preserve">appointment of a </w:t>
      </w:r>
      <w:r w:rsidR="00016568" w:rsidRPr="00304737">
        <w:t xml:space="preserve">Williams </w:t>
      </w:r>
      <w:r w:rsidR="00AA7FB3" w:rsidRPr="00304737">
        <w:t xml:space="preserve">Court Monitor was </w:t>
      </w:r>
      <w:r w:rsidR="00F23F06" w:rsidRPr="00304737">
        <w:t>completed in 2010</w:t>
      </w:r>
      <w:r w:rsidR="00A54077" w:rsidRPr="00304737">
        <w:t>.  A subsequent process was</w:t>
      </w:r>
      <w:r w:rsidR="00016568" w:rsidRPr="00304737">
        <w:t xml:space="preserve"> initiated and completed </w:t>
      </w:r>
      <w:r w:rsidR="00F23F06" w:rsidRPr="00304737">
        <w:t>in 2017.</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Not less than every six months, Defendants shall provide the Monitor and Plaintiffs with detailed report containing data and info sufficient to evaluate Defendants' compliance with the Decree and progress toward achieving compliance, with Parties and Monitor agreeing in advance of the first report of the data and info</w:t>
      </w:r>
      <w:r w:rsidR="00DB4FA4">
        <w:rPr>
          <w:i/>
          <w:sz w:val="24"/>
          <w:szCs w:val="24"/>
        </w:rPr>
        <w:t>rmation</w:t>
      </w:r>
      <w:r w:rsidRPr="00C6740F">
        <w:rPr>
          <w:i/>
          <w:sz w:val="24"/>
          <w:szCs w:val="24"/>
        </w:rPr>
        <w:t xml:space="preserve"> that must be included in such report.</w:t>
      </w:r>
    </w:p>
    <w:p w:rsidR="00C6740F" w:rsidRPr="00304737" w:rsidRDefault="00016568"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 xml:space="preserve">Williams </w:t>
      </w:r>
      <w:r w:rsidR="00AA7FB3" w:rsidRPr="00304737">
        <w:t>Semi-Annual Report</w:t>
      </w:r>
      <w:r w:rsidR="00A54077" w:rsidRPr="00304737">
        <w:t xml:space="preserve">s </w:t>
      </w:r>
      <w:r w:rsidR="00AA7FB3" w:rsidRPr="00304737">
        <w:t>ha</w:t>
      </w:r>
      <w:r w:rsidR="00A54077" w:rsidRPr="00304737">
        <w:t>ve</w:t>
      </w:r>
      <w:r w:rsidR="00AA7FB3" w:rsidRPr="00304737">
        <w:t xml:space="preserve"> been prepared and submitted to the Court Monitor every six months in accordance with the schedule designed by the Court Monitor.  This document serves </w:t>
      </w:r>
      <w:r w:rsidR="00A54077" w:rsidRPr="00304737">
        <w:t xml:space="preserve">as Semi-Annual Report #14, </w:t>
      </w:r>
      <w:r w:rsidR="00AA7FB3" w:rsidRPr="00304737">
        <w:t xml:space="preserve">in compliance with this indicator.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will not refuse any request by the Monitor for documents or other information that are reasonably related to the Monitor's review and evaluation of Defendant's compliance with the Decree, and Defendants will, upon reasonable notice, permit confidential interviews of Defendant's staff or consultants, except their attorneys.</w:t>
      </w:r>
    </w:p>
    <w:p w:rsidR="00C6740F" w:rsidRPr="00304737" w:rsidRDefault="00373E9A"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During this reporting period, t</w:t>
      </w:r>
      <w:r w:rsidR="005D2657" w:rsidRPr="00304737">
        <w:t xml:space="preserve">he defendants have </w:t>
      </w:r>
      <w:r w:rsidRPr="00304737">
        <w:t xml:space="preserve">not refused any request </w:t>
      </w:r>
      <w:r w:rsidR="004A6C96">
        <w:t>to produce</w:t>
      </w:r>
      <w:r w:rsidRPr="00304737">
        <w:t xml:space="preserve"> documents </w:t>
      </w:r>
      <w:r w:rsidR="00DB4FA4">
        <w:t xml:space="preserve">requested </w:t>
      </w:r>
      <w:r w:rsidRPr="00304737">
        <w:t xml:space="preserve">by the Court Monitor or other information related to the Monitor’s review and evaluation of compliance.  </w:t>
      </w:r>
      <w:r w:rsidR="00791309">
        <w:t xml:space="preserve">The Defendants have not restricted any interviews with staff or </w:t>
      </w:r>
      <w:proofErr w:type="gramStart"/>
      <w:r w:rsidR="00791309">
        <w:t>consultants, if</w:t>
      </w:r>
      <w:proofErr w:type="gramEnd"/>
      <w:r w:rsidR="00295BA0">
        <w:t xml:space="preserve"> such requests have </w:t>
      </w:r>
      <w:r w:rsidR="00791309">
        <w:t xml:space="preserve">been </w:t>
      </w:r>
      <w:r w:rsidR="00295BA0">
        <w:t>initiated</w:t>
      </w:r>
      <w:r w:rsidR="00791309">
        <w:t xml:space="preserve">. </w:t>
      </w:r>
      <w:r w:rsidR="00ED2BF3">
        <w:t xml:space="preserve"> There has been no refusal</w:t>
      </w:r>
      <w:r w:rsidR="005452C3">
        <w:t xml:space="preserve"> of any requests</w:t>
      </w:r>
      <w:r w:rsidR="00ED2BF3">
        <w:t xml:space="preserve"> for confidential interviews of staff or consultants.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Monitor will have access to all CMs and their records/files, as well as to those service providers, facilities, buildings, premises that serve, or are otherwise pertinent to, CMs where such access is reasonably related to Monitor's review and evaluation of compliance.</w:t>
      </w:r>
    </w:p>
    <w:p w:rsidR="00C6740F" w:rsidRPr="00304737" w:rsidRDefault="00373E9A"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During this reporting period, the Monitor has had full access to Class Members</w:t>
      </w:r>
      <w:r w:rsidR="00A54077" w:rsidRPr="00304737">
        <w:t>’</w:t>
      </w:r>
      <w:r w:rsidRPr="00304737">
        <w:t xml:space="preserve"> records/files, service providers, facilities, buildings,</w:t>
      </w:r>
      <w:r w:rsidR="00DB4FA4">
        <w:t xml:space="preserve"> and</w:t>
      </w:r>
      <w:r w:rsidRPr="00304737">
        <w:t xml:space="preserve"> premises as reasonably related to the Monitor’s review and evaluation of compliance.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shall comply with Plaintiffs requests for info that are reasonably related to Defendants' compliance with Decree, including without limitation requests for records and other relevant documents pertinent to implementation of the Decree or to CMs. Plaintiffs shall also be permitted to review the information provided to the Monitor.</w:t>
      </w:r>
    </w:p>
    <w:p w:rsidR="00C6740F" w:rsidRPr="00304737" w:rsidRDefault="00BA381D"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T</w:t>
      </w:r>
      <w:r w:rsidR="00373E9A" w:rsidRPr="00304737">
        <w:t xml:space="preserve">he defendants have </w:t>
      </w:r>
      <w:r w:rsidR="008335EB">
        <w:t>complied</w:t>
      </w:r>
      <w:r w:rsidR="00373E9A" w:rsidRPr="00304737">
        <w:t xml:space="preserve"> with a</w:t>
      </w:r>
      <w:r w:rsidR="004A6C96">
        <w:t>ll</w:t>
      </w:r>
      <w:r w:rsidR="00373E9A" w:rsidRPr="00304737">
        <w:t xml:space="preserve"> informational request</w:t>
      </w:r>
      <w:r w:rsidR="00A54077" w:rsidRPr="00304737">
        <w:t>s</w:t>
      </w:r>
      <w:r w:rsidR="00373E9A" w:rsidRPr="00304737">
        <w:t xml:space="preserve"> made by the Court Monitor and Plaintiffs’ attorneys in accordance with the implementation of the Decree.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proofErr w:type="gramStart"/>
      <w:r w:rsidRPr="00C6740F">
        <w:rPr>
          <w:i/>
          <w:sz w:val="24"/>
          <w:szCs w:val="24"/>
        </w:rPr>
        <w:t>In the event that</w:t>
      </w:r>
      <w:proofErr w:type="gramEnd"/>
      <w:r w:rsidRPr="00C6740F">
        <w:rPr>
          <w:i/>
          <w:sz w:val="24"/>
          <w:szCs w:val="24"/>
        </w:rPr>
        <w:t xml:space="preserve"> the Monitor finds Defendants not in compliance with the Decree, the Monitor shall promptly meet and confer with the Parties in an effort to agree on the steps necessary to achieve compliance. </w:t>
      </w:r>
      <w:proofErr w:type="gramStart"/>
      <w:r w:rsidRPr="00C6740F">
        <w:rPr>
          <w:i/>
          <w:sz w:val="24"/>
          <w:szCs w:val="24"/>
        </w:rPr>
        <w:t>In the event that</w:t>
      </w:r>
      <w:proofErr w:type="gramEnd"/>
      <w:r w:rsidRPr="00C6740F">
        <w:rPr>
          <w:i/>
          <w:sz w:val="24"/>
          <w:szCs w:val="24"/>
        </w:rPr>
        <w:t xml:space="preserve"> Plaintiffs believe that Defendants are not complying with the terms of the Decree, Plaintiffs shall notify the Monitor and Defendants of Defendants' potential non-compliance. The Monitor then shall review the Plaintiffs' claims of actual or potential non-compliance and, as the Monitor deems appropriate in his or her professional judgment, meet and confer with Defendants and Plaintiffs </w:t>
      </w:r>
      <w:proofErr w:type="gramStart"/>
      <w:r w:rsidRPr="00C6740F">
        <w:rPr>
          <w:i/>
          <w:sz w:val="24"/>
          <w:szCs w:val="24"/>
        </w:rPr>
        <w:t>in an effort to</w:t>
      </w:r>
      <w:proofErr w:type="gramEnd"/>
      <w:r w:rsidRPr="00C6740F">
        <w:rPr>
          <w:i/>
          <w:sz w:val="24"/>
          <w:szCs w:val="24"/>
        </w:rPr>
        <w:t xml:space="preserve"> agree on steps necessary to achieve compliance with the Decree. IF the Monitor and Parties agree, such steps shall be memorialized in writing, filed with the Court, and incorporated into, and become enforceable as part of, the Decree. </w:t>
      </w:r>
      <w:proofErr w:type="gramStart"/>
      <w:r w:rsidRPr="00C6740F">
        <w:rPr>
          <w:i/>
          <w:sz w:val="24"/>
          <w:szCs w:val="24"/>
        </w:rPr>
        <w:t>In the event that</w:t>
      </w:r>
      <w:proofErr w:type="gramEnd"/>
      <w:r w:rsidRPr="00C6740F">
        <w:rPr>
          <w:i/>
          <w:sz w:val="24"/>
          <w:szCs w:val="24"/>
        </w:rPr>
        <w:t xml:space="preserve"> the Monitor is unable to reach agreement with Defendants and Plaintiffs, the Monitor or either Party may seek appropriate relief from the Court. </w:t>
      </w:r>
      <w:proofErr w:type="gramStart"/>
      <w:r w:rsidRPr="00C6740F">
        <w:rPr>
          <w:i/>
          <w:sz w:val="24"/>
          <w:szCs w:val="24"/>
        </w:rPr>
        <w:t>In the event that</w:t>
      </w:r>
      <w:proofErr w:type="gramEnd"/>
      <w:r w:rsidRPr="00C6740F">
        <w:rPr>
          <w:i/>
          <w:sz w:val="24"/>
          <w:szCs w:val="24"/>
        </w:rPr>
        <w:t xml:space="preserve"> Plaintiffs believe that Defendants are not in compliance with the Decree and that the Monitor has not requested appropriate relief from the Court, Plaintiffs may seek relief from the Court. The Monitor will not communicate with the Court without </w:t>
      </w:r>
      <w:proofErr w:type="gramStart"/>
      <w:r w:rsidRPr="00C6740F">
        <w:rPr>
          <w:i/>
          <w:sz w:val="24"/>
          <w:szCs w:val="24"/>
        </w:rPr>
        <w:t>advance notice</w:t>
      </w:r>
      <w:proofErr w:type="gramEnd"/>
      <w:r w:rsidRPr="00C6740F">
        <w:rPr>
          <w:i/>
          <w:sz w:val="24"/>
          <w:szCs w:val="24"/>
        </w:rPr>
        <w:t xml:space="preserve"> to the Parties.</w:t>
      </w:r>
    </w:p>
    <w:p w:rsidR="00C6740F" w:rsidRPr="00304737" w:rsidRDefault="00373E9A"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 xml:space="preserve">This is not a </w:t>
      </w:r>
      <w:r w:rsidR="00C4173B" w:rsidRPr="00304737">
        <w:t xml:space="preserve">State </w:t>
      </w:r>
      <w:r w:rsidRPr="00304737">
        <w:t>reportable compliance requirement.</w:t>
      </w:r>
      <w:r w:rsidR="00BA381D" w:rsidRPr="00304737">
        <w:t xml:space="preserv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shall compensate Monitor and his/her staff and consultants at their usual and customary rate; reimburse all reasonable expenses to the Monitor and the Monitor's staff; consistent with guidelines set forth in "Governor's Travel Control Board Travel Guide for State Employees." Defendants may seek relief from the Court if Defendants believe that any of the Monitor's charges are inappropriate or unreasonable.</w:t>
      </w:r>
    </w:p>
    <w:p w:rsidR="00C6740F" w:rsidRPr="00304737" w:rsidRDefault="00373E9A"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This is not a</w:t>
      </w:r>
      <w:r w:rsidR="00C4173B" w:rsidRPr="00304737">
        <w:t xml:space="preserve"> State</w:t>
      </w:r>
      <w:r w:rsidRPr="00304737">
        <w:t xml:space="preserve"> reportable compliance requirement.   </w:t>
      </w:r>
      <w:r w:rsidR="000A60F3">
        <w:t xml:space="preserve">During this reporting period, the Court Monitor and staff have been </w:t>
      </w:r>
      <w:r w:rsidR="002819B5">
        <w:t xml:space="preserve">paid based on the rate determined by the Court and in accordance with the terms of the Monitor’s contract.  Travel expenses have </w:t>
      </w:r>
      <w:r w:rsidR="00DE7FFE">
        <w:t xml:space="preserve">been </w:t>
      </w:r>
      <w:r w:rsidR="000A60F3">
        <w:t>reimbursed in accordance with CMS State policies regarding Travel Guidance</w:t>
      </w:r>
      <w:r w:rsidR="002819B5">
        <w:t>, as required by the Monitor’s contract</w:t>
      </w:r>
      <w:r w:rsidR="000A60F3">
        <w:t xml:space="preserve">. </w:t>
      </w:r>
    </w:p>
    <w:p w:rsidR="00C6740F" w:rsidRP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Defendants shall offer each of the Named Plaintiffs the opportunity to receive appropriate services in the most integrated setting appropriate to their needs and wishes including PSH.</w:t>
      </w:r>
    </w:p>
    <w:p w:rsidR="00C6740F" w:rsidRPr="00304737" w:rsidRDefault="007245B0" w:rsidP="00432943">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pacing w:after="0"/>
      </w:pPr>
      <w:r w:rsidRPr="00304737">
        <w:t>This indicator was met in 201</w:t>
      </w:r>
      <w:r w:rsidR="005B5BFF" w:rsidRPr="00304737">
        <w:t>1</w:t>
      </w:r>
      <w:r w:rsidRPr="00304737">
        <w:t xml:space="preserve">.   </w:t>
      </w:r>
      <w:r w:rsidR="00D830F4" w:rsidRPr="00304737">
        <w:t xml:space="preserve">Status: </w:t>
      </w:r>
      <w:r w:rsidR="00B669E4" w:rsidRPr="00304737">
        <w:t xml:space="preserve">based on the outcome </w:t>
      </w:r>
      <w:r w:rsidR="00D830F4" w:rsidRPr="00304737">
        <w:t>f</w:t>
      </w:r>
      <w:r w:rsidR="005B5BFF" w:rsidRPr="00304737">
        <w:t>rom the original Resident Review assessment, t</w:t>
      </w:r>
      <w:r w:rsidRPr="00304737">
        <w:t xml:space="preserve">he named Plaintiff </w:t>
      </w:r>
      <w:r w:rsidR="00304737" w:rsidRPr="00304737">
        <w:t xml:space="preserve">(Williams) </w:t>
      </w:r>
      <w:r w:rsidRPr="00304737">
        <w:t xml:space="preserve">was </w:t>
      </w:r>
      <w:r w:rsidR="00C4173B" w:rsidRPr="00304737">
        <w:t xml:space="preserve">determined </w:t>
      </w:r>
      <w:r w:rsidR="00B669E4" w:rsidRPr="00304737">
        <w:t xml:space="preserve">not to be </w:t>
      </w:r>
      <w:r w:rsidR="005B5BFF" w:rsidRPr="00304737">
        <w:t xml:space="preserve">appropriate </w:t>
      </w:r>
      <w:r w:rsidR="00D460B3" w:rsidRPr="00304737">
        <w:t>for</w:t>
      </w:r>
      <w:r w:rsidR="00066F85" w:rsidRPr="00304737">
        <w:t xml:space="preserve"> community</w:t>
      </w:r>
      <w:r w:rsidR="005B5BFF" w:rsidRPr="00304737">
        <w:t xml:space="preserve"> </w:t>
      </w:r>
      <w:r w:rsidR="00D460B3" w:rsidRPr="00304737">
        <w:t>transition</w:t>
      </w:r>
      <w:r w:rsidR="000A60F3">
        <w:t xml:space="preserve">. </w:t>
      </w:r>
      <w:r w:rsidR="00D460B3" w:rsidRPr="00304737">
        <w:t xml:space="preserve"> </w:t>
      </w:r>
      <w:r w:rsidR="000A60F3">
        <w:t xml:space="preserve">Regarding </w:t>
      </w:r>
      <w:r w:rsidRPr="00304737">
        <w:t xml:space="preserve">the remaining four Plaintiffs, three were transitioned to </w:t>
      </w:r>
      <w:r w:rsidR="004A6C96">
        <w:t xml:space="preserve">the community to </w:t>
      </w:r>
      <w:r w:rsidR="005A4D7D" w:rsidRPr="00304737">
        <w:t>lease</w:t>
      </w:r>
      <w:r w:rsidR="00304737" w:rsidRPr="00304737">
        <w:t>-</w:t>
      </w:r>
      <w:r w:rsidR="005A4D7D" w:rsidRPr="00304737">
        <w:t>held</w:t>
      </w:r>
      <w:r w:rsidR="00304737" w:rsidRPr="00304737">
        <w:t xml:space="preserve"> PSH</w:t>
      </w:r>
      <w:r w:rsidR="005A4D7D" w:rsidRPr="00304737">
        <w:t xml:space="preserve"> </w:t>
      </w:r>
      <w:r w:rsidR="00C4173B" w:rsidRPr="00304737">
        <w:t>units</w:t>
      </w:r>
      <w:r w:rsidRPr="00304737">
        <w:t xml:space="preserve">.  One subsequently </w:t>
      </w:r>
      <w:r w:rsidR="00304737" w:rsidRPr="00304737">
        <w:t>left his apartment and</w:t>
      </w:r>
      <w:r w:rsidR="005A4D7D" w:rsidRPr="00304737">
        <w:t xml:space="preserve"> </w:t>
      </w:r>
      <w:r w:rsidR="000A60F3">
        <w:t xml:space="preserve">was </w:t>
      </w:r>
      <w:r w:rsidR="005A4D7D" w:rsidRPr="00304737">
        <w:t xml:space="preserve">relocated </w:t>
      </w:r>
      <w:r w:rsidRPr="00304737">
        <w:t>to a Supervised Residential setting, to</w:t>
      </w:r>
      <w:r w:rsidR="005A4D7D" w:rsidRPr="00304737">
        <w:t xml:space="preserve"> </w:t>
      </w:r>
      <w:r w:rsidR="00304737" w:rsidRPr="00304737">
        <w:t xml:space="preserve">prevent an imminent </w:t>
      </w:r>
      <w:r w:rsidR="005A4D7D" w:rsidRPr="00304737">
        <w:t xml:space="preserve">eviction and </w:t>
      </w:r>
      <w:r w:rsidR="00304737" w:rsidRPr="00304737">
        <w:t xml:space="preserve">address </w:t>
      </w:r>
      <w:r w:rsidR="005A4D7D" w:rsidRPr="00304737">
        <w:t xml:space="preserve">greater </w:t>
      </w:r>
      <w:r w:rsidRPr="00304737">
        <w:t xml:space="preserve">level of care needs.   </w:t>
      </w:r>
      <w:r w:rsidR="00BA381D" w:rsidRPr="00304737">
        <w:t xml:space="preserve">The other two remain in the community in </w:t>
      </w:r>
      <w:r w:rsidR="00A74516">
        <w:t>their original</w:t>
      </w:r>
      <w:r w:rsidR="00BA381D" w:rsidRPr="00304737">
        <w:t xml:space="preserve"> apartments.  </w:t>
      </w:r>
      <w:r w:rsidRPr="00304737">
        <w:t>The last Plaintiff was transitioned</w:t>
      </w:r>
      <w:r w:rsidR="00BA381D" w:rsidRPr="00304737">
        <w:t xml:space="preserve"> from an IMD/SMHRF to</w:t>
      </w:r>
      <w:r w:rsidRPr="00304737">
        <w:t xml:space="preserve"> a MI/DD Community Integrated Living Arrangement (CILA)</w:t>
      </w:r>
      <w:r w:rsidR="00304737" w:rsidRPr="00304737">
        <w:t>,</w:t>
      </w:r>
      <w:r w:rsidR="00BA381D" w:rsidRPr="00304737">
        <w:t xml:space="preserve"> operated by Anixter Center.  He remains in this setting</w:t>
      </w:r>
      <w:r w:rsidRPr="00304737">
        <w:t>.</w:t>
      </w:r>
      <w:r w:rsidR="000A60F3">
        <w:t xml:space="preserve">   </w:t>
      </w:r>
    </w:p>
    <w:p w:rsidR="00C6740F" w:rsidRDefault="00C6740F"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r w:rsidRPr="00C6740F">
        <w:rPr>
          <w:i/>
          <w:sz w:val="24"/>
          <w:szCs w:val="24"/>
        </w:rPr>
        <w:t>The cost of all notices hereunder or otherwise ordered by the Court shall be borne by the Defendants.</w:t>
      </w:r>
    </w:p>
    <w:p w:rsidR="00C6740F" w:rsidRPr="00304737" w:rsidRDefault="007245B0" w:rsidP="00C6740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304737">
        <w:t>The State of Illinois</w:t>
      </w:r>
      <w:r w:rsidR="00640966" w:rsidRPr="00304737">
        <w:t xml:space="preserve"> has</w:t>
      </w:r>
      <w:r w:rsidRPr="00304737">
        <w:t xml:space="preserve"> </w:t>
      </w:r>
      <w:r w:rsidR="005A4D7D" w:rsidRPr="00304737">
        <w:t xml:space="preserve">incurred </w:t>
      </w:r>
      <w:r w:rsidR="00640966" w:rsidRPr="00304737">
        <w:t xml:space="preserve">and paid </w:t>
      </w:r>
      <w:r w:rsidR="005A4D7D" w:rsidRPr="00304737">
        <w:t xml:space="preserve">all </w:t>
      </w:r>
      <w:r w:rsidR="00BA381D" w:rsidRPr="00304737">
        <w:t xml:space="preserve">initial </w:t>
      </w:r>
      <w:r w:rsidR="005A4D7D" w:rsidRPr="00304737">
        <w:t>cost</w:t>
      </w:r>
      <w:r w:rsidR="00640966" w:rsidRPr="00304737">
        <w:t>s</w:t>
      </w:r>
      <w:r w:rsidR="005A4D7D" w:rsidRPr="00304737">
        <w:t xml:space="preserve"> for </w:t>
      </w:r>
      <w:r w:rsidRPr="00304737">
        <w:t>notices</w:t>
      </w:r>
      <w:r w:rsidR="005A4D7D" w:rsidRPr="00304737">
        <w:t xml:space="preserve"> associated with the Consent Decree</w:t>
      </w:r>
      <w:r w:rsidRPr="00304737">
        <w:t>.</w:t>
      </w:r>
    </w:p>
    <w:p w:rsidR="00B85D42" w:rsidRPr="00B85D42" w:rsidRDefault="00B85D42" w:rsidP="00B85D42">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bookmarkStart w:id="4" w:name="_Hlk520202522"/>
      <w:r w:rsidRPr="00B85D42">
        <w:rPr>
          <w:i/>
          <w:sz w:val="24"/>
          <w:szCs w:val="24"/>
        </w:rPr>
        <w:t>Reportable Incidents</w:t>
      </w:r>
      <w:r w:rsidR="00D65D07">
        <w:rPr>
          <w:i/>
          <w:sz w:val="24"/>
          <w:szCs w:val="24"/>
        </w:rPr>
        <w:t xml:space="preserve"> (post transition)</w:t>
      </w:r>
    </w:p>
    <w:bookmarkEnd w:id="4"/>
    <w:p w:rsidR="00B85D42" w:rsidRPr="00B85D42" w:rsidRDefault="00B85D42" w:rsidP="00C4173B">
      <w:pPr>
        <w:spacing w:after="0"/>
        <w:rPr>
          <w:rFonts w:cs="Times New Roman"/>
        </w:rPr>
      </w:pPr>
      <w:r w:rsidRPr="00B85D42">
        <w:rPr>
          <w:rFonts w:cs="Times New Roman"/>
        </w:rPr>
        <w:t>DMH capture</w:t>
      </w:r>
      <w:r>
        <w:rPr>
          <w:rFonts w:cs="Times New Roman"/>
        </w:rPr>
        <w:t>s</w:t>
      </w:r>
      <w:r w:rsidRPr="00B85D42">
        <w:rPr>
          <w:rFonts w:cs="Times New Roman"/>
        </w:rPr>
        <w:t xml:space="preserve"> all reportable incidents, root cause analys</w:t>
      </w:r>
      <w:r>
        <w:rPr>
          <w:rFonts w:cs="Times New Roman"/>
        </w:rPr>
        <w:t>es</w:t>
      </w:r>
      <w:r w:rsidRPr="00B85D42">
        <w:rPr>
          <w:rFonts w:cs="Times New Roman"/>
        </w:rPr>
        <w:t xml:space="preserve">, and agency summaries and </w:t>
      </w:r>
      <w:r w:rsidR="00C4173B">
        <w:rPr>
          <w:rFonts w:cs="Times New Roman"/>
        </w:rPr>
        <w:t xml:space="preserve">risk </w:t>
      </w:r>
      <w:r w:rsidRPr="00B85D42">
        <w:rPr>
          <w:rFonts w:cs="Times New Roman"/>
        </w:rPr>
        <w:t xml:space="preserve">strategies once data is entered. </w:t>
      </w:r>
      <w:r>
        <w:rPr>
          <w:rFonts w:cs="Times New Roman"/>
        </w:rPr>
        <w:t xml:space="preserve"> </w:t>
      </w:r>
      <w:r w:rsidRPr="00B85D42">
        <w:rPr>
          <w:rFonts w:cs="Times New Roman"/>
        </w:rPr>
        <w:t>Each agency that transitions a Class Member</w:t>
      </w:r>
      <w:r w:rsidR="00BF0749">
        <w:rPr>
          <w:rFonts w:cs="Times New Roman"/>
        </w:rPr>
        <w:t xml:space="preserve"> </w:t>
      </w:r>
      <w:r w:rsidRPr="00B85D42">
        <w:rPr>
          <w:rFonts w:cs="Times New Roman"/>
        </w:rPr>
        <w:t xml:space="preserve">to the community is responsible for reporting </w:t>
      </w:r>
      <w:r>
        <w:rPr>
          <w:rFonts w:cs="Times New Roman"/>
        </w:rPr>
        <w:t xml:space="preserve">and </w:t>
      </w:r>
      <w:r w:rsidRPr="00B85D42">
        <w:rPr>
          <w:rFonts w:cs="Times New Roman"/>
        </w:rPr>
        <w:t>documenting incident</w:t>
      </w:r>
      <w:r w:rsidR="00BF0749">
        <w:rPr>
          <w:rFonts w:cs="Times New Roman"/>
        </w:rPr>
        <w:t>s</w:t>
      </w:r>
      <w:r w:rsidRPr="00B85D42">
        <w:rPr>
          <w:rFonts w:cs="Times New Roman"/>
        </w:rPr>
        <w:t xml:space="preserve">, plus developing a </w:t>
      </w:r>
      <w:r>
        <w:rPr>
          <w:rFonts w:cs="Times New Roman"/>
        </w:rPr>
        <w:t xml:space="preserve">risk mitigation </w:t>
      </w:r>
      <w:r w:rsidRPr="00B85D42">
        <w:rPr>
          <w:rFonts w:cs="Times New Roman"/>
        </w:rPr>
        <w:t xml:space="preserve">strategy </w:t>
      </w:r>
      <w:r>
        <w:rPr>
          <w:rFonts w:cs="Times New Roman"/>
        </w:rPr>
        <w:t>to</w:t>
      </w:r>
      <w:r w:rsidR="00BF0749">
        <w:rPr>
          <w:rFonts w:cs="Times New Roman"/>
        </w:rPr>
        <w:t xml:space="preserve"> decrease the likelihood of</w:t>
      </w:r>
      <w:r>
        <w:rPr>
          <w:rFonts w:cs="Times New Roman"/>
        </w:rPr>
        <w:t xml:space="preserve"> </w:t>
      </w:r>
      <w:r w:rsidRPr="00B85D42">
        <w:rPr>
          <w:rFonts w:cs="Times New Roman"/>
        </w:rPr>
        <w:t>future in</w:t>
      </w:r>
      <w:r w:rsidR="00BF0749">
        <w:rPr>
          <w:rFonts w:cs="Times New Roman"/>
        </w:rPr>
        <w:t>cidents</w:t>
      </w:r>
      <w:r>
        <w:rPr>
          <w:rFonts w:cs="Times New Roman"/>
        </w:rPr>
        <w:t>,</w:t>
      </w:r>
      <w:r w:rsidRPr="00B85D42">
        <w:rPr>
          <w:rFonts w:cs="Times New Roman"/>
        </w:rPr>
        <w:t xml:space="preserve"> if possible. </w:t>
      </w:r>
      <w:r>
        <w:rPr>
          <w:rFonts w:cs="Times New Roman"/>
        </w:rPr>
        <w:t xml:space="preserve"> </w:t>
      </w:r>
      <w:r w:rsidRPr="00B85D42">
        <w:rPr>
          <w:rFonts w:cs="Times New Roman"/>
        </w:rPr>
        <w:t xml:space="preserve">Reportable incident tracking can increase Class Member safety by identifying factors contributing to the incident, then </w:t>
      </w:r>
      <w:r>
        <w:rPr>
          <w:rFonts w:cs="Times New Roman"/>
        </w:rPr>
        <w:t>allowing a planning process</w:t>
      </w:r>
      <w:r w:rsidRPr="00B85D42">
        <w:rPr>
          <w:rFonts w:cs="Times New Roman"/>
        </w:rPr>
        <w:t xml:space="preserve"> to </w:t>
      </w:r>
      <w:r>
        <w:rPr>
          <w:rFonts w:cs="Times New Roman"/>
        </w:rPr>
        <w:t xml:space="preserve">assist with </w:t>
      </w:r>
      <w:r w:rsidRPr="00B85D42">
        <w:rPr>
          <w:rFonts w:cs="Times New Roman"/>
        </w:rPr>
        <w:t>mitigate or</w:t>
      </w:r>
      <w:r w:rsidR="00BF0749">
        <w:rPr>
          <w:rFonts w:cs="Times New Roman"/>
        </w:rPr>
        <w:t xml:space="preserve"> possible</w:t>
      </w:r>
      <w:r w:rsidRPr="00B85D42">
        <w:rPr>
          <w:rFonts w:cs="Times New Roman"/>
        </w:rPr>
        <w:t xml:space="preserve"> eliminat</w:t>
      </w:r>
      <w:r w:rsidR="00BF0749">
        <w:rPr>
          <w:rFonts w:cs="Times New Roman"/>
        </w:rPr>
        <w:t>ion of</w:t>
      </w:r>
      <w:r w:rsidRPr="00B85D42">
        <w:rPr>
          <w:rFonts w:cs="Times New Roman"/>
        </w:rPr>
        <w:t xml:space="preserve"> contributing factors. </w:t>
      </w:r>
    </w:p>
    <w:p w:rsidR="00B85D42" w:rsidRPr="00B85D42" w:rsidRDefault="00B85D42" w:rsidP="00C4173B">
      <w:pPr>
        <w:spacing w:after="0"/>
        <w:rPr>
          <w:rFonts w:cs="Times New Roman"/>
        </w:rPr>
      </w:pPr>
      <w:r>
        <w:rPr>
          <w:rFonts w:cs="Times New Roman"/>
        </w:rPr>
        <w:t xml:space="preserve"> </w:t>
      </w:r>
    </w:p>
    <w:p w:rsidR="00B85D42" w:rsidRPr="00B85D42" w:rsidRDefault="00B85D42" w:rsidP="00C4173B">
      <w:pPr>
        <w:spacing w:after="0"/>
        <w:rPr>
          <w:rFonts w:cs="Times New Roman"/>
        </w:rPr>
      </w:pPr>
      <w:r>
        <w:rPr>
          <w:rFonts w:cs="Times New Roman"/>
        </w:rPr>
        <w:t>During t</w:t>
      </w:r>
      <w:r w:rsidRPr="00B85D42">
        <w:rPr>
          <w:rFonts w:cs="Times New Roman"/>
        </w:rPr>
        <w:t xml:space="preserve">his reporting period, the </w:t>
      </w:r>
      <w:r>
        <w:rPr>
          <w:rFonts w:cs="Times New Roman"/>
        </w:rPr>
        <w:t xml:space="preserve">Williams </w:t>
      </w:r>
      <w:r w:rsidRPr="00B85D42">
        <w:rPr>
          <w:rFonts w:cs="Times New Roman"/>
        </w:rPr>
        <w:t>DMH database captured the following reportable incidents</w:t>
      </w:r>
      <w:r>
        <w:rPr>
          <w:rFonts w:cs="Times New Roman"/>
        </w:rPr>
        <w:t>. There w</w:t>
      </w:r>
      <w:r w:rsidR="00C4173B">
        <w:rPr>
          <w:rFonts w:cs="Times New Roman"/>
        </w:rPr>
        <w:t>ere</w:t>
      </w:r>
      <w:r w:rsidRPr="00B85D42">
        <w:rPr>
          <w:rFonts w:cs="Times New Roman"/>
        </w:rPr>
        <w:t xml:space="preserve"> </w:t>
      </w:r>
      <w:r w:rsidR="00131643">
        <w:rPr>
          <w:rFonts w:cs="Times New Roman"/>
        </w:rPr>
        <w:t>229</w:t>
      </w:r>
      <w:r w:rsidRPr="00B85D42">
        <w:rPr>
          <w:rFonts w:cs="Times New Roman"/>
        </w:rPr>
        <w:t xml:space="preserve"> incidents a</w:t>
      </w:r>
      <w:r w:rsidR="00E00057">
        <w:rPr>
          <w:rFonts w:cs="Times New Roman"/>
        </w:rPr>
        <w:t>cross the</w:t>
      </w:r>
      <w:r w:rsidRPr="00B85D42">
        <w:rPr>
          <w:rFonts w:cs="Times New Roman"/>
        </w:rPr>
        <w:t xml:space="preserve"> three different </w:t>
      </w:r>
      <w:r w:rsidR="00131643">
        <w:rPr>
          <w:rFonts w:cs="Times New Roman"/>
        </w:rPr>
        <w:t>L</w:t>
      </w:r>
      <w:r w:rsidRPr="00B85D42">
        <w:rPr>
          <w:rFonts w:cs="Times New Roman"/>
        </w:rPr>
        <w:t>evels</w:t>
      </w:r>
      <w:r w:rsidR="007E39D2">
        <w:rPr>
          <w:rFonts w:cs="Times New Roman"/>
        </w:rPr>
        <w:t xml:space="preserve">.  </w:t>
      </w:r>
      <w:r w:rsidR="00D3395A">
        <w:rPr>
          <w:rFonts w:cs="Times New Roman"/>
        </w:rPr>
        <w:t xml:space="preserve">The below spreadsheet with Legend </w:t>
      </w:r>
      <w:r w:rsidR="00131643" w:rsidRPr="00BF0749">
        <w:rPr>
          <w:rFonts w:cs="Times New Roman"/>
        </w:rPr>
        <w:t>reflect</w:t>
      </w:r>
      <w:r w:rsidR="00BF0749" w:rsidRPr="00BF0749">
        <w:rPr>
          <w:rFonts w:cs="Times New Roman"/>
        </w:rPr>
        <w:t>s</w:t>
      </w:r>
      <w:r w:rsidR="00131643" w:rsidRPr="00BF0749">
        <w:rPr>
          <w:rFonts w:cs="Times New Roman"/>
        </w:rPr>
        <w:t xml:space="preserve"> all reportable incidents for this period, by the provider agency</w:t>
      </w:r>
      <w:r w:rsidRPr="00BF0749">
        <w:rPr>
          <w:rFonts w:cs="Times New Roman"/>
        </w:rPr>
        <w:t>:</w:t>
      </w:r>
      <w:r w:rsidRPr="00B85D42">
        <w:rPr>
          <w:rFonts w:cs="Times New Roman"/>
        </w:rPr>
        <w:t xml:space="preserve"> </w:t>
      </w:r>
    </w:p>
    <w:p w:rsidR="00B85D42" w:rsidRPr="00B85D42" w:rsidRDefault="00B85D42" w:rsidP="00C4173B">
      <w:pPr>
        <w:spacing w:after="0"/>
        <w:ind w:left="720"/>
        <w:contextualSpacing/>
        <w:rPr>
          <w:rFonts w:cs="Times New Roman"/>
        </w:rPr>
      </w:pPr>
      <w:r w:rsidRPr="00B85D42">
        <w:rPr>
          <w:rFonts w:cs="Times New Roman"/>
        </w:rPr>
        <w:t xml:space="preserve">Level I </w:t>
      </w:r>
      <w:r>
        <w:rPr>
          <w:rFonts w:cs="Times New Roman"/>
        </w:rPr>
        <w:tab/>
      </w:r>
      <w:r>
        <w:rPr>
          <w:rFonts w:cs="Times New Roman"/>
        </w:rPr>
        <w:tab/>
      </w:r>
      <w:r w:rsidRPr="00B85D42">
        <w:rPr>
          <w:rFonts w:cs="Times New Roman"/>
        </w:rPr>
        <w:t>Urgent; Critical</w:t>
      </w:r>
      <w:r>
        <w:rPr>
          <w:rFonts w:cs="Times New Roman"/>
        </w:rPr>
        <w:tab/>
      </w:r>
      <w:r>
        <w:rPr>
          <w:rFonts w:cs="Times New Roman"/>
        </w:rPr>
        <w:tab/>
      </w:r>
      <w:r>
        <w:rPr>
          <w:rFonts w:cs="Times New Roman"/>
        </w:rPr>
        <w:tab/>
      </w:r>
      <w:r>
        <w:rPr>
          <w:rFonts w:cs="Times New Roman"/>
        </w:rPr>
        <w:tab/>
      </w:r>
      <w:r>
        <w:rPr>
          <w:rFonts w:cs="Times New Roman"/>
        </w:rPr>
        <w:tab/>
      </w:r>
      <w:r w:rsidR="00131643">
        <w:rPr>
          <w:rFonts w:cs="Times New Roman"/>
        </w:rPr>
        <w:t>24</w:t>
      </w:r>
      <w:r w:rsidR="00D47844">
        <w:rPr>
          <w:rFonts w:cs="Times New Roman"/>
        </w:rPr>
        <w:t xml:space="preserve"> (10%)</w:t>
      </w:r>
    </w:p>
    <w:p w:rsidR="00B85D42" w:rsidRPr="00B85D42" w:rsidRDefault="00B85D42" w:rsidP="00C4173B">
      <w:pPr>
        <w:spacing w:after="0"/>
        <w:ind w:left="720"/>
        <w:contextualSpacing/>
        <w:rPr>
          <w:rFonts w:cs="Times New Roman"/>
        </w:rPr>
      </w:pPr>
      <w:r w:rsidRPr="00B85D42">
        <w:rPr>
          <w:rFonts w:cs="Times New Roman"/>
        </w:rPr>
        <w:t xml:space="preserve">Level </w:t>
      </w:r>
      <w:r w:rsidR="003B1E6B" w:rsidRPr="00B85D42">
        <w:rPr>
          <w:rFonts w:cs="Times New Roman"/>
        </w:rPr>
        <w:t xml:space="preserve">II </w:t>
      </w:r>
      <w:r w:rsidR="003B1E6B" w:rsidRPr="00B85D42">
        <w:rPr>
          <w:rFonts w:cs="Times New Roman"/>
        </w:rPr>
        <w:tab/>
      </w:r>
      <w:r w:rsidR="00913A8A">
        <w:rPr>
          <w:rFonts w:cs="Times New Roman"/>
        </w:rPr>
        <w:tab/>
      </w:r>
      <w:r w:rsidRPr="00B85D42">
        <w:rPr>
          <w:rFonts w:cs="Times New Roman"/>
        </w:rPr>
        <w:t>Serious; Reportable Incident</w:t>
      </w:r>
      <w:r>
        <w:rPr>
          <w:rFonts w:cs="Times New Roman"/>
        </w:rPr>
        <w:tab/>
      </w:r>
      <w:r>
        <w:rPr>
          <w:rFonts w:cs="Times New Roman"/>
        </w:rPr>
        <w:tab/>
      </w:r>
      <w:r>
        <w:rPr>
          <w:rFonts w:cs="Times New Roman"/>
        </w:rPr>
        <w:tab/>
        <w:t>1</w:t>
      </w:r>
      <w:r w:rsidR="00131643">
        <w:rPr>
          <w:rFonts w:cs="Times New Roman"/>
        </w:rPr>
        <w:t>78</w:t>
      </w:r>
      <w:r w:rsidR="00E00057">
        <w:rPr>
          <w:rFonts w:cs="Times New Roman"/>
        </w:rPr>
        <w:t xml:space="preserve"> (7</w:t>
      </w:r>
      <w:r w:rsidR="00131643">
        <w:rPr>
          <w:rFonts w:cs="Times New Roman"/>
        </w:rPr>
        <w:t>8</w:t>
      </w:r>
      <w:r w:rsidR="00E00057">
        <w:rPr>
          <w:rFonts w:cs="Times New Roman"/>
        </w:rPr>
        <w:t>%)</w:t>
      </w:r>
    </w:p>
    <w:p w:rsidR="00B85D42" w:rsidRPr="00B85D42" w:rsidRDefault="00B85D42" w:rsidP="00C4173B">
      <w:pPr>
        <w:spacing w:after="0"/>
        <w:ind w:left="720"/>
        <w:contextualSpacing/>
        <w:rPr>
          <w:rFonts w:cs="Times New Roman"/>
        </w:rPr>
      </w:pPr>
      <w:r w:rsidRPr="00B85D42">
        <w:rPr>
          <w:rFonts w:cs="Times New Roman"/>
        </w:rPr>
        <w:t xml:space="preserve">Level III </w:t>
      </w:r>
      <w:r>
        <w:rPr>
          <w:rFonts w:cs="Times New Roman"/>
        </w:rPr>
        <w:tab/>
      </w:r>
      <w:r w:rsidRPr="00B85D42">
        <w:rPr>
          <w:rFonts w:cs="Times New Roman"/>
        </w:rPr>
        <w:t>Significant; Reportable Incident</w:t>
      </w:r>
      <w:r>
        <w:rPr>
          <w:rFonts w:cs="Times New Roman"/>
        </w:rPr>
        <w:tab/>
      </w:r>
      <w:r>
        <w:rPr>
          <w:rFonts w:cs="Times New Roman"/>
        </w:rPr>
        <w:tab/>
      </w:r>
      <w:r>
        <w:rPr>
          <w:rFonts w:cs="Times New Roman"/>
        </w:rPr>
        <w:tab/>
        <w:t>2</w:t>
      </w:r>
      <w:r w:rsidR="00131643">
        <w:rPr>
          <w:rFonts w:cs="Times New Roman"/>
        </w:rPr>
        <w:t>7</w:t>
      </w:r>
      <w:r w:rsidR="00E00057">
        <w:rPr>
          <w:rFonts w:cs="Times New Roman"/>
        </w:rPr>
        <w:t xml:space="preserve"> (1</w:t>
      </w:r>
      <w:r w:rsidR="00131643">
        <w:rPr>
          <w:rFonts w:cs="Times New Roman"/>
        </w:rPr>
        <w:t>2</w:t>
      </w:r>
      <w:r w:rsidR="00E00057">
        <w:rPr>
          <w:rFonts w:cs="Times New Roman"/>
        </w:rPr>
        <w:t>%)</w:t>
      </w:r>
    </w:p>
    <w:p w:rsidR="00B85D42" w:rsidRDefault="00B85D42" w:rsidP="00C4173B">
      <w:pPr>
        <w:tabs>
          <w:tab w:val="left" w:pos="3720"/>
        </w:tabs>
        <w:spacing w:after="0"/>
        <w:rPr>
          <w:rFonts w:cs="Times New Roman"/>
        </w:rPr>
      </w:pPr>
      <w:r>
        <w:rPr>
          <w:rFonts w:cs="Times New Roman"/>
        </w:rPr>
        <w:tab/>
      </w:r>
    </w:p>
    <w:p w:rsidR="00964563" w:rsidRDefault="00964563" w:rsidP="00C4173B">
      <w:pPr>
        <w:spacing w:after="0"/>
        <w:rPr>
          <w:rFonts w:cs="Times New Roman"/>
        </w:rPr>
      </w:pPr>
    </w:p>
    <w:p w:rsidR="00B85D42" w:rsidRPr="00B85D42" w:rsidRDefault="00B85D42" w:rsidP="00C4173B">
      <w:pPr>
        <w:spacing w:after="0"/>
        <w:rPr>
          <w:rFonts w:cs="Times New Roman"/>
        </w:rPr>
      </w:pPr>
      <w:r>
        <w:rPr>
          <w:rFonts w:cs="Times New Roman"/>
        </w:rPr>
        <w:t>Williams CMHC</w:t>
      </w:r>
      <w:r w:rsidRPr="00B85D42">
        <w:rPr>
          <w:rFonts w:cs="Times New Roman"/>
        </w:rPr>
        <w:t xml:space="preserve">s submit </w:t>
      </w:r>
      <w:r w:rsidR="00D3395A">
        <w:rPr>
          <w:rFonts w:cs="Times New Roman"/>
        </w:rPr>
        <w:t xml:space="preserve">Incident </w:t>
      </w:r>
      <w:r w:rsidRPr="00B85D42">
        <w:rPr>
          <w:rFonts w:cs="Times New Roman"/>
        </w:rPr>
        <w:t xml:space="preserve">reports </w:t>
      </w:r>
      <w:r w:rsidR="00C4173B">
        <w:rPr>
          <w:rFonts w:cs="Times New Roman"/>
        </w:rPr>
        <w:t xml:space="preserve">to DMH </w:t>
      </w:r>
      <w:r w:rsidRPr="00B85D42">
        <w:rPr>
          <w:rFonts w:cs="Times New Roman"/>
        </w:rPr>
        <w:t>within the identified time frames</w:t>
      </w:r>
      <w:r>
        <w:rPr>
          <w:rFonts w:cs="Times New Roman"/>
        </w:rPr>
        <w:t>:</w:t>
      </w:r>
      <w:r w:rsidRPr="00B85D42">
        <w:rPr>
          <w:rFonts w:cs="Times New Roman"/>
        </w:rPr>
        <w:t xml:space="preserve"> </w:t>
      </w:r>
    </w:p>
    <w:p w:rsidR="00B85D42" w:rsidRPr="00B85D42" w:rsidRDefault="00B85D42" w:rsidP="00C4173B">
      <w:pPr>
        <w:numPr>
          <w:ilvl w:val="0"/>
          <w:numId w:val="1"/>
        </w:numPr>
        <w:spacing w:after="0"/>
        <w:contextualSpacing/>
        <w:rPr>
          <w:rFonts w:cs="Times New Roman"/>
        </w:rPr>
      </w:pPr>
      <w:r w:rsidRPr="00B85D42">
        <w:rPr>
          <w:rFonts w:cs="Times New Roman"/>
        </w:rPr>
        <w:t>Level I - Critical Incidents:  reported within 24 hours or the next business day</w:t>
      </w:r>
    </w:p>
    <w:p w:rsidR="00B85D42" w:rsidRPr="00B85D42" w:rsidRDefault="00B85D42" w:rsidP="00C4173B">
      <w:pPr>
        <w:numPr>
          <w:ilvl w:val="0"/>
          <w:numId w:val="1"/>
        </w:numPr>
        <w:spacing w:after="0"/>
        <w:contextualSpacing/>
        <w:rPr>
          <w:rFonts w:cs="Times New Roman"/>
        </w:rPr>
      </w:pPr>
      <w:r w:rsidRPr="00B85D42">
        <w:rPr>
          <w:rFonts w:cs="Times New Roman"/>
        </w:rPr>
        <w:t>Level II – Serious; Reportable: reported within 48 business hours</w:t>
      </w:r>
    </w:p>
    <w:p w:rsidR="00B85D42" w:rsidRDefault="00B85D42" w:rsidP="00B85D42">
      <w:pPr>
        <w:numPr>
          <w:ilvl w:val="0"/>
          <w:numId w:val="1"/>
        </w:numPr>
        <w:contextualSpacing/>
        <w:rPr>
          <w:rFonts w:cs="Times New Roman"/>
        </w:rPr>
      </w:pPr>
      <w:r w:rsidRPr="00B85D42">
        <w:rPr>
          <w:rFonts w:cs="Times New Roman"/>
        </w:rPr>
        <w:t>Level III – Significant Reportable: reported within 72 working hours</w:t>
      </w:r>
      <w:r w:rsidR="00D3395A">
        <w:rPr>
          <w:rFonts w:cs="Times New Roman"/>
        </w:rPr>
        <w:t xml:space="preserve"> </w:t>
      </w:r>
    </w:p>
    <w:p w:rsidR="00E00057" w:rsidRDefault="00E00057" w:rsidP="00E00057">
      <w:pPr>
        <w:contextualSpacing/>
        <w:rPr>
          <w:rFonts w:cs="Times New Roman"/>
        </w:rPr>
      </w:pPr>
    </w:p>
    <w:p w:rsidR="00DC51D1" w:rsidRDefault="00DC51D1" w:rsidP="00E00057">
      <w:pPr>
        <w:contextualSpacing/>
        <w:rPr>
          <w:rFonts w:cs="Times New Roman"/>
        </w:rPr>
      </w:pPr>
      <w:r>
        <w:rPr>
          <w:noProof/>
        </w:rPr>
        <w:drawing>
          <wp:inline distT="0" distB="0" distL="0" distR="0" wp14:anchorId="45650098" wp14:editId="4ED4A986">
            <wp:extent cx="8800704" cy="4219575"/>
            <wp:effectExtent l="0" t="0" r="635" b="0"/>
            <wp:docPr id="10" name="Picture 10" descr="C:\Users\brenda.hampton\AppData\Local\Microsoft\Windows\Temporary Internet Files\Content.Word\ReportableIncident_Rperi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hampton\AppData\Local\Microsoft\Windows\Temporary Internet Files\Content.Word\ReportableIncident_Rperio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4450" cy="4221371"/>
                    </a:xfrm>
                    <a:prstGeom prst="rect">
                      <a:avLst/>
                    </a:prstGeom>
                    <a:noFill/>
                    <a:ln>
                      <a:noFill/>
                    </a:ln>
                  </pic:spPr>
                </pic:pic>
              </a:graphicData>
            </a:graphic>
          </wp:inline>
        </w:drawing>
      </w:r>
    </w:p>
    <w:p w:rsidR="00DC51D1" w:rsidRDefault="00DC51D1" w:rsidP="00E00057">
      <w:pPr>
        <w:contextualSpacing/>
        <w:rPr>
          <w:rFonts w:cs="Times New Roman"/>
        </w:rPr>
      </w:pPr>
    </w:p>
    <w:p w:rsidR="00E00057" w:rsidRDefault="00E00057" w:rsidP="00432943">
      <w:pPr>
        <w:spacing w:after="0"/>
        <w:contextualSpacing/>
        <w:rPr>
          <w:rFonts w:cs="Times New Roman"/>
        </w:rPr>
      </w:pPr>
      <w:r>
        <w:rPr>
          <w:rFonts w:cs="Times New Roman"/>
        </w:rPr>
        <w:t>Level I deaths have an official Mortality Review analysis conducted by the University of Illinois College of Nursing (excluding those death</w:t>
      </w:r>
      <w:r w:rsidR="00BF0749">
        <w:rPr>
          <w:rFonts w:cs="Times New Roman"/>
        </w:rPr>
        <w:t xml:space="preserve">s </w:t>
      </w:r>
      <w:r>
        <w:rPr>
          <w:rFonts w:cs="Times New Roman"/>
        </w:rPr>
        <w:t xml:space="preserve">associated with </w:t>
      </w:r>
      <w:r w:rsidR="00766182">
        <w:rPr>
          <w:rFonts w:cs="Times New Roman"/>
        </w:rPr>
        <w:t>declin</w:t>
      </w:r>
      <w:r w:rsidR="00303155">
        <w:rPr>
          <w:rFonts w:cs="Times New Roman"/>
        </w:rPr>
        <w:t>ed</w:t>
      </w:r>
      <w:r w:rsidR="00766182">
        <w:rPr>
          <w:rFonts w:cs="Times New Roman"/>
        </w:rPr>
        <w:t xml:space="preserve"> health</w:t>
      </w:r>
      <w:r>
        <w:rPr>
          <w:rFonts w:cs="Times New Roman"/>
        </w:rPr>
        <w:t xml:space="preserve"> condition</w:t>
      </w:r>
      <w:r w:rsidR="00640966">
        <w:rPr>
          <w:rFonts w:cs="Times New Roman"/>
        </w:rPr>
        <w:t>s</w:t>
      </w:r>
      <w:r>
        <w:rPr>
          <w:rFonts w:cs="Times New Roman"/>
        </w:rPr>
        <w:t xml:space="preserve">, i.e., </w:t>
      </w:r>
      <w:r w:rsidR="00640966">
        <w:rPr>
          <w:rFonts w:cs="Times New Roman"/>
        </w:rPr>
        <w:t xml:space="preserve">natural causes (heart attack, stroke, cancer, etc.), </w:t>
      </w:r>
      <w:r>
        <w:rPr>
          <w:rFonts w:cs="Times New Roman"/>
        </w:rPr>
        <w:t xml:space="preserve">in hospice care or terminal illness).  </w:t>
      </w:r>
      <w:r w:rsidR="00640A56">
        <w:rPr>
          <w:rFonts w:cs="Times New Roman"/>
        </w:rPr>
        <w:t>During this reporting period, t</w:t>
      </w:r>
      <w:r>
        <w:rPr>
          <w:rFonts w:cs="Times New Roman"/>
        </w:rPr>
        <w:t xml:space="preserve">here were </w:t>
      </w:r>
      <w:r w:rsidR="0086654C">
        <w:rPr>
          <w:rFonts w:cs="Times New Roman"/>
        </w:rPr>
        <w:t>seven</w:t>
      </w:r>
      <w:r w:rsidR="00640A56">
        <w:rPr>
          <w:rFonts w:cs="Times New Roman"/>
        </w:rPr>
        <w:t xml:space="preserve"> </w:t>
      </w:r>
      <w:r w:rsidR="007E39D2">
        <w:rPr>
          <w:rFonts w:cs="Times New Roman"/>
        </w:rPr>
        <w:t>L</w:t>
      </w:r>
      <w:r w:rsidR="00640A56">
        <w:rPr>
          <w:rFonts w:cs="Times New Roman"/>
        </w:rPr>
        <w:t xml:space="preserve">evel I deaths </w:t>
      </w:r>
      <w:r w:rsidR="00BF0749">
        <w:rPr>
          <w:rFonts w:cs="Times New Roman"/>
        </w:rPr>
        <w:t xml:space="preserve">(3% of the overall reportable incidents).   Of the seven deaths </w:t>
      </w:r>
      <w:r w:rsidR="00131643">
        <w:rPr>
          <w:rFonts w:cs="Times New Roman"/>
        </w:rPr>
        <w:t xml:space="preserve">1 </w:t>
      </w:r>
      <w:r w:rsidR="00BF0749">
        <w:rPr>
          <w:rFonts w:cs="Times New Roman"/>
        </w:rPr>
        <w:t xml:space="preserve">was an alleged </w:t>
      </w:r>
      <w:r w:rsidR="00131643">
        <w:rPr>
          <w:rFonts w:cs="Times New Roman"/>
        </w:rPr>
        <w:t xml:space="preserve">suicide and 2 </w:t>
      </w:r>
      <w:r w:rsidR="00BF0749">
        <w:rPr>
          <w:rFonts w:cs="Times New Roman"/>
        </w:rPr>
        <w:t>were unexpected.  These three deaths</w:t>
      </w:r>
      <w:r w:rsidR="00131643">
        <w:rPr>
          <w:rFonts w:cs="Times New Roman"/>
        </w:rPr>
        <w:t xml:space="preserve"> </w:t>
      </w:r>
      <w:r w:rsidR="00913A8A">
        <w:rPr>
          <w:rFonts w:cs="Times New Roman"/>
        </w:rPr>
        <w:t xml:space="preserve">will </w:t>
      </w:r>
      <w:r w:rsidR="00640966">
        <w:rPr>
          <w:rFonts w:cs="Times New Roman"/>
        </w:rPr>
        <w:t>necessitate a</w:t>
      </w:r>
      <w:r w:rsidR="00766182">
        <w:rPr>
          <w:rFonts w:cs="Times New Roman"/>
        </w:rPr>
        <w:t xml:space="preserve"> </w:t>
      </w:r>
      <w:r>
        <w:rPr>
          <w:rFonts w:cs="Times New Roman"/>
        </w:rPr>
        <w:t>Mortality Review</w:t>
      </w:r>
      <w:r w:rsidR="007E5FE1">
        <w:rPr>
          <w:rFonts w:cs="Times New Roman"/>
        </w:rPr>
        <w:t xml:space="preserve">. </w:t>
      </w:r>
      <w:r w:rsidR="00640966">
        <w:rPr>
          <w:rFonts w:cs="Times New Roman"/>
        </w:rPr>
        <w:t>Data collection on these t</w:t>
      </w:r>
      <w:r w:rsidR="00131643">
        <w:rPr>
          <w:rFonts w:cs="Times New Roman"/>
        </w:rPr>
        <w:t>hree</w:t>
      </w:r>
      <w:r w:rsidR="00640966">
        <w:rPr>
          <w:rFonts w:cs="Times New Roman"/>
        </w:rPr>
        <w:t xml:space="preserve"> deaths is </w:t>
      </w:r>
      <w:r w:rsidR="00640A56">
        <w:rPr>
          <w:rFonts w:cs="Times New Roman"/>
        </w:rPr>
        <w:t xml:space="preserve">currently </w:t>
      </w:r>
      <w:r w:rsidR="00640966">
        <w:rPr>
          <w:rFonts w:cs="Times New Roman"/>
        </w:rPr>
        <w:t xml:space="preserve">occurring.  There </w:t>
      </w:r>
      <w:r w:rsidR="00640A56">
        <w:rPr>
          <w:rFonts w:cs="Times New Roman"/>
        </w:rPr>
        <w:t xml:space="preserve">have been </w:t>
      </w:r>
      <w:r w:rsidR="00640966">
        <w:rPr>
          <w:rFonts w:cs="Times New Roman"/>
        </w:rPr>
        <w:t xml:space="preserve">no Mortality Reviews </w:t>
      </w:r>
      <w:r w:rsidR="007E39D2">
        <w:rPr>
          <w:rFonts w:cs="Times New Roman"/>
        </w:rPr>
        <w:t>conducted during</w:t>
      </w:r>
      <w:r w:rsidR="00640966">
        <w:rPr>
          <w:rFonts w:cs="Times New Roman"/>
        </w:rPr>
        <w:t xml:space="preserve"> this reporting period. </w:t>
      </w:r>
      <w:r w:rsidR="00D65D07">
        <w:rPr>
          <w:rFonts w:cs="Times New Roman"/>
        </w:rPr>
        <w:t>Comparable data on Reportable Incidents pre-transition from Long Term Care will be collected and compiled by IDPH for subsequent Semi-Annual Reports.</w:t>
      </w:r>
    </w:p>
    <w:p w:rsidR="00766182" w:rsidRDefault="00766182" w:rsidP="00E00057">
      <w:pPr>
        <w:contextualSpacing/>
        <w:rPr>
          <w:rFonts w:cs="Times New Roman"/>
        </w:rPr>
      </w:pPr>
    </w:p>
    <w:p w:rsidR="00640966" w:rsidRPr="00B85D42" w:rsidRDefault="00640966" w:rsidP="00640966">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sz w:val="24"/>
          <w:szCs w:val="24"/>
        </w:rPr>
      </w:pPr>
      <w:bookmarkStart w:id="5" w:name="_Hlk520204899"/>
      <w:r>
        <w:rPr>
          <w:i/>
          <w:sz w:val="24"/>
          <w:szCs w:val="24"/>
        </w:rPr>
        <w:t>Characteristics of Williams Class Members</w:t>
      </w:r>
    </w:p>
    <w:bookmarkEnd w:id="5"/>
    <w:p w:rsidR="002C61B0" w:rsidRPr="002C61B0" w:rsidRDefault="002C61B0" w:rsidP="00432943">
      <w:pPr>
        <w:spacing w:after="0"/>
        <w:rPr>
          <w:rFonts w:eastAsia="Times New Roman" w:cs="Times New Roman"/>
          <w:b/>
          <w:i/>
        </w:rPr>
      </w:pPr>
      <w:r w:rsidRPr="002C61B0">
        <w:rPr>
          <w:rFonts w:eastAsia="Times New Roman" w:cs="Times New Roman"/>
          <w:b/>
          <w:i/>
        </w:rPr>
        <w:t>NOTE:   The following information is retrieved from registration data captured by the Mental Health Collaborative for Access and Choice (Administrative Service Organization) on Williams Class Members when the initial registration is completed</w:t>
      </w:r>
      <w:r>
        <w:rPr>
          <w:rFonts w:eastAsia="Times New Roman" w:cs="Times New Roman"/>
          <w:b/>
          <w:i/>
        </w:rPr>
        <w:t xml:space="preserve"> by the Williams provider agency</w:t>
      </w:r>
      <w:r w:rsidRPr="002C61B0">
        <w:rPr>
          <w:rFonts w:eastAsia="Times New Roman" w:cs="Times New Roman"/>
          <w:b/>
          <w:i/>
        </w:rPr>
        <w:t>.</w:t>
      </w:r>
    </w:p>
    <w:p w:rsidR="002C61B0" w:rsidRPr="002C61B0" w:rsidRDefault="002C61B0" w:rsidP="00432943">
      <w:pPr>
        <w:spacing w:after="0"/>
        <w:rPr>
          <w:rFonts w:eastAsia="Times New Roman" w:cs="Times New Roman"/>
          <w:i/>
        </w:rPr>
      </w:pPr>
    </w:p>
    <w:p w:rsidR="007E39D2" w:rsidRDefault="007E39D2" w:rsidP="00432943">
      <w:pPr>
        <w:spacing w:after="0"/>
        <w:rPr>
          <w:rFonts w:eastAsia="Times New Roman" w:cs="Times New Roman"/>
        </w:rPr>
      </w:pPr>
      <w:r w:rsidRPr="007E39D2">
        <w:rPr>
          <w:rFonts w:eastAsia="Times New Roman" w:cs="Times New Roman"/>
        </w:rPr>
        <w:t>This analysis provides an update to previous analyses performed looking at the characteristics of Williams Class Members receiving community-based treatment.  As stated in previous reports, DMH contracted providers serving in the role of transition coordinators are contractually required to register/enroll Williams Class Members (WCMs) in the DMH Community Information System, within 7 days of their initial contact with Class Members which occurs within the IMD in</w:t>
      </w:r>
      <w:r w:rsidR="007E5FE1">
        <w:rPr>
          <w:rFonts w:eastAsia="Times New Roman" w:cs="Times New Roman"/>
        </w:rPr>
        <w:t xml:space="preserve"> which the individual resides. </w:t>
      </w:r>
      <w:r w:rsidRPr="007E39D2">
        <w:rPr>
          <w:rFonts w:eastAsia="Times New Roman" w:cs="Times New Roman"/>
        </w:rPr>
        <w:t>They are also required to re-register these individuals to update key fields at six month</w:t>
      </w:r>
      <w:r w:rsidR="00D97BD6">
        <w:rPr>
          <w:rFonts w:eastAsia="Times New Roman" w:cs="Times New Roman"/>
        </w:rPr>
        <w:t>s</w:t>
      </w:r>
      <w:r w:rsidRPr="007E39D2">
        <w:rPr>
          <w:rFonts w:eastAsia="Times New Roman" w:cs="Times New Roman"/>
        </w:rPr>
        <w:t xml:space="preserve"> intervals.  As of June 30, 2018, four thousand one hundred and thirty-six (4</w:t>
      </w:r>
      <w:r w:rsidR="00520EAD">
        <w:rPr>
          <w:rFonts w:eastAsia="Times New Roman" w:cs="Times New Roman"/>
        </w:rPr>
        <w:t>,</w:t>
      </w:r>
      <w:r w:rsidRPr="007E39D2">
        <w:rPr>
          <w:rFonts w:eastAsia="Times New Roman" w:cs="Times New Roman"/>
        </w:rPr>
        <w:t>136) Williams Class Members were enrolled in the DMH Community Information System</w:t>
      </w:r>
      <w:r w:rsidR="00D97BD6">
        <w:rPr>
          <w:rFonts w:eastAsia="Times New Roman" w:cs="Times New Roman"/>
        </w:rPr>
        <w:t>,</w:t>
      </w:r>
      <w:r w:rsidRPr="007E39D2">
        <w:rPr>
          <w:rFonts w:eastAsia="Times New Roman" w:cs="Times New Roman"/>
        </w:rPr>
        <w:t xml:space="preserve"> </w:t>
      </w:r>
      <w:r w:rsidR="00D97BD6">
        <w:rPr>
          <w:rFonts w:eastAsia="Times New Roman" w:cs="Times New Roman"/>
        </w:rPr>
        <w:t>the</w:t>
      </w:r>
      <w:r w:rsidRPr="007E39D2">
        <w:rPr>
          <w:rFonts w:eastAsia="Times New Roman" w:cs="Times New Roman"/>
        </w:rPr>
        <w:t xml:space="preserve"> result of being assigned to an agency for transition coordination.  However, not all enrolled </w:t>
      </w:r>
      <w:r w:rsidR="00D97BD6">
        <w:rPr>
          <w:rFonts w:eastAsia="Times New Roman" w:cs="Times New Roman"/>
        </w:rPr>
        <w:t>Class M</w:t>
      </w:r>
      <w:r w:rsidRPr="007E39D2">
        <w:rPr>
          <w:rFonts w:eastAsia="Times New Roman" w:cs="Times New Roman"/>
        </w:rPr>
        <w:t>embers are currently receiving services.  The results of the analyses summarized below are indicative that there were very few changes in the profile of enrolled Class Members as of June 2018</w:t>
      </w:r>
      <w:r w:rsidR="00D97BD6">
        <w:rPr>
          <w:rFonts w:eastAsia="Times New Roman" w:cs="Times New Roman"/>
        </w:rPr>
        <w:t>,</w:t>
      </w:r>
      <w:r w:rsidRPr="007E39D2">
        <w:rPr>
          <w:rFonts w:eastAsia="Times New Roman" w:cs="Times New Roman"/>
        </w:rPr>
        <w:t xml:space="preserve"> in comparison to December 2017.  The clinical and descriptive characteristics appear to be stable for this population</w:t>
      </w:r>
      <w:r w:rsidRPr="00DC218B">
        <w:rPr>
          <w:rFonts w:eastAsia="Times New Roman" w:cs="Times New Roman"/>
        </w:rPr>
        <w:t xml:space="preserve">.   </w:t>
      </w:r>
      <w:r w:rsidR="00635D54" w:rsidRPr="00DC218B">
        <w:rPr>
          <w:rFonts w:eastAsia="Times New Roman" w:cs="Times New Roman"/>
        </w:rPr>
        <w:t xml:space="preserve">This demographic data is for any Class Member </w:t>
      </w:r>
      <w:r w:rsidR="00DC7ED5" w:rsidRPr="00DC218B">
        <w:rPr>
          <w:rFonts w:eastAsia="Times New Roman" w:cs="Times New Roman"/>
        </w:rPr>
        <w:t>that</w:t>
      </w:r>
      <w:r w:rsidR="00635D54" w:rsidRPr="00DC218B">
        <w:rPr>
          <w:rFonts w:eastAsia="Times New Roman" w:cs="Times New Roman"/>
        </w:rPr>
        <w:t xml:space="preserve"> has been approved for transition, assigned to a community agency and registered.  </w:t>
      </w:r>
      <w:r w:rsidR="00DE45E6">
        <w:t xml:space="preserve">This data represents all Class Members from the initial registration, not those in the facilities.  See </w:t>
      </w:r>
      <w:r w:rsidR="00DE45E6" w:rsidRPr="005452C3">
        <w:rPr>
          <w:i/>
        </w:rPr>
        <w:t>NOTE</w:t>
      </w:r>
      <w:r w:rsidR="00DE45E6">
        <w:t xml:space="preserve">.  </w:t>
      </w:r>
      <w:r w:rsidR="00635D54" w:rsidRPr="00DC218B">
        <w:rPr>
          <w:rFonts w:eastAsia="Times New Roman" w:cs="Times New Roman"/>
        </w:rPr>
        <w:t xml:space="preserve">This information is based on the most recently submitted registration by the CMHCs.  Since the data is based on the most current registration </w:t>
      </w:r>
      <w:r w:rsidR="00BA30CC" w:rsidRPr="00DC218B">
        <w:rPr>
          <w:rFonts w:eastAsia="Times New Roman" w:cs="Times New Roman"/>
        </w:rPr>
        <w:t>for Class Members the information can be compared going forward.   However, there is no capacity to recreate and obtain historical data.</w:t>
      </w:r>
    </w:p>
    <w:p w:rsidR="00DC7ED5" w:rsidRDefault="00DC7ED5" w:rsidP="00432943">
      <w:pPr>
        <w:spacing w:after="0"/>
        <w:rPr>
          <w:rFonts w:eastAsia="Times New Roman" w:cs="Times New Roman"/>
        </w:rPr>
      </w:pPr>
    </w:p>
    <w:tbl>
      <w:tblPr>
        <w:tblW w:w="8100" w:type="dxa"/>
        <w:tblInd w:w="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0"/>
        <w:gridCol w:w="1940"/>
        <w:gridCol w:w="1560"/>
      </w:tblGrid>
      <w:tr w:rsidR="007E39D2" w:rsidRPr="007E39D2" w:rsidTr="005452C3">
        <w:trPr>
          <w:trHeight w:val="312"/>
          <w:tblHeader/>
        </w:trPr>
        <w:tc>
          <w:tcPr>
            <w:tcW w:w="460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Age Group</w:t>
            </w:r>
          </w:p>
        </w:tc>
        <w:tc>
          <w:tcPr>
            <w:tcW w:w="194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Count</w:t>
            </w:r>
          </w:p>
        </w:tc>
        <w:tc>
          <w:tcPr>
            <w:tcW w:w="156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w:t>
            </w:r>
          </w:p>
        </w:tc>
      </w:tr>
      <w:tr w:rsidR="007E39D2" w:rsidRPr="007E39D2" w:rsidTr="009052C3">
        <w:trPr>
          <w:trHeight w:val="300"/>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18 - 20</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5</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0.1%</w:t>
            </w:r>
          </w:p>
        </w:tc>
      </w:tr>
      <w:tr w:rsidR="007E39D2" w:rsidRPr="007E39D2" w:rsidTr="009052C3">
        <w:trPr>
          <w:trHeight w:val="288"/>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21 - 24</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97</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2.3%</w:t>
            </w:r>
          </w:p>
        </w:tc>
      </w:tr>
      <w:tr w:rsidR="007E39D2" w:rsidRPr="007E39D2" w:rsidTr="009052C3">
        <w:trPr>
          <w:trHeight w:val="288"/>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25 - 44</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1452</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35.1%</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45 - 64</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2242</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54.2%</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65 and over</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340</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8.2%</w:t>
            </w:r>
          </w:p>
        </w:tc>
      </w:tr>
    </w:tbl>
    <w:p w:rsidR="007E39D2" w:rsidRDefault="007E39D2" w:rsidP="007E39D2">
      <w:pPr>
        <w:rPr>
          <w:rFonts w:eastAsia="Times New Roman" w:cs="Times New Roman"/>
          <w:sz w:val="24"/>
          <w:szCs w:val="24"/>
        </w:rPr>
      </w:pPr>
    </w:p>
    <w:p w:rsidR="00A81FB1" w:rsidRPr="007E39D2" w:rsidRDefault="00A81FB1" w:rsidP="007E39D2">
      <w:pPr>
        <w:rPr>
          <w:rFonts w:eastAsia="Times New Roman" w:cs="Times New Roman"/>
          <w:sz w:val="24"/>
          <w:szCs w:val="24"/>
        </w:rPr>
      </w:pPr>
    </w:p>
    <w:tbl>
      <w:tblPr>
        <w:tblW w:w="8100" w:type="dxa"/>
        <w:tblInd w:w="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0"/>
        <w:gridCol w:w="1940"/>
        <w:gridCol w:w="1560"/>
      </w:tblGrid>
      <w:tr w:rsidR="007E39D2" w:rsidRPr="007E39D2" w:rsidTr="009052C3">
        <w:trPr>
          <w:trHeight w:val="345"/>
        </w:trPr>
        <w:tc>
          <w:tcPr>
            <w:tcW w:w="460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Gender</w:t>
            </w:r>
          </w:p>
        </w:tc>
        <w:tc>
          <w:tcPr>
            <w:tcW w:w="194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Count</w:t>
            </w:r>
          </w:p>
        </w:tc>
        <w:tc>
          <w:tcPr>
            <w:tcW w:w="156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Female</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1428</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34.5%</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Male</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2708</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65.5%</w:t>
            </w:r>
          </w:p>
        </w:tc>
      </w:tr>
    </w:tbl>
    <w:p w:rsidR="007E39D2" w:rsidRDefault="007E39D2" w:rsidP="007E39D2">
      <w:pPr>
        <w:rPr>
          <w:rFonts w:eastAsia="Times New Roman" w:cs="Times New Roman"/>
          <w:sz w:val="24"/>
          <w:szCs w:val="24"/>
        </w:rPr>
      </w:pPr>
    </w:p>
    <w:tbl>
      <w:tblPr>
        <w:tblW w:w="8100" w:type="dxa"/>
        <w:tblInd w:w="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0"/>
        <w:gridCol w:w="1940"/>
        <w:gridCol w:w="1560"/>
      </w:tblGrid>
      <w:tr w:rsidR="007E39D2" w:rsidRPr="007E39D2" w:rsidTr="009052C3">
        <w:trPr>
          <w:trHeight w:val="345"/>
        </w:trPr>
        <w:tc>
          <w:tcPr>
            <w:tcW w:w="460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Ethnicity</w:t>
            </w:r>
          </w:p>
        </w:tc>
        <w:tc>
          <w:tcPr>
            <w:tcW w:w="194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Count</w:t>
            </w:r>
          </w:p>
        </w:tc>
        <w:tc>
          <w:tcPr>
            <w:tcW w:w="156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American Indian/Alaskan Native</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18</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0.4%</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Asian</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66</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1.6%</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Black/African American</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1914</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57.4%</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More Than One Race Reported</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16</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0.4%</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 xml:space="preserve">Native Hawaiian or </w:t>
            </w:r>
            <w:proofErr w:type="gramStart"/>
            <w:r w:rsidRPr="00194E43">
              <w:rPr>
                <w:rFonts w:eastAsia="Times New Roman" w:cs="Arial"/>
                <w:color w:val="000000"/>
              </w:rPr>
              <w:t>Other</w:t>
            </w:r>
            <w:proofErr w:type="gramEnd"/>
            <w:r w:rsidRPr="00194E43">
              <w:rPr>
                <w:rFonts w:eastAsia="Times New Roman" w:cs="Arial"/>
                <w:color w:val="000000"/>
              </w:rPr>
              <w:t xml:space="preserve"> Pacific Islander</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9</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0.2%</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Race/Ethnicity Not Available</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129</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3.1%</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White</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1984</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48.0%</w:t>
            </w:r>
          </w:p>
        </w:tc>
      </w:tr>
    </w:tbl>
    <w:p w:rsidR="007E39D2" w:rsidRPr="007E39D2" w:rsidRDefault="007E39D2" w:rsidP="007E39D2">
      <w:pPr>
        <w:rPr>
          <w:rFonts w:eastAsia="Times New Roman" w:cs="Times New Roman"/>
          <w:sz w:val="24"/>
          <w:szCs w:val="24"/>
        </w:rPr>
      </w:pPr>
    </w:p>
    <w:tbl>
      <w:tblPr>
        <w:tblW w:w="8100" w:type="dxa"/>
        <w:tblInd w:w="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0"/>
        <w:gridCol w:w="1940"/>
        <w:gridCol w:w="1560"/>
      </w:tblGrid>
      <w:tr w:rsidR="007E39D2" w:rsidRPr="007E39D2" w:rsidTr="007E39D2">
        <w:trPr>
          <w:trHeight w:val="345"/>
          <w:tblHeader/>
        </w:trPr>
        <w:tc>
          <w:tcPr>
            <w:tcW w:w="460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 xml:space="preserve">Hispanic Origin </w:t>
            </w:r>
          </w:p>
        </w:tc>
        <w:tc>
          <w:tcPr>
            <w:tcW w:w="194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Count</w:t>
            </w:r>
          </w:p>
        </w:tc>
        <w:tc>
          <w:tcPr>
            <w:tcW w:w="1560" w:type="dxa"/>
            <w:shd w:val="clear" w:color="000000" w:fill="C0C0C0"/>
            <w:noWrap/>
            <w:vAlign w:val="bottom"/>
            <w:hideMark/>
          </w:tcPr>
          <w:p w:rsidR="007E39D2" w:rsidRPr="007E39D2" w:rsidRDefault="007E39D2" w:rsidP="009052C3">
            <w:pPr>
              <w:jc w:val="center"/>
              <w:rPr>
                <w:rFonts w:eastAsia="Times New Roman" w:cs="Arial"/>
                <w:b/>
                <w:color w:val="000000"/>
                <w:sz w:val="24"/>
                <w:szCs w:val="24"/>
              </w:rPr>
            </w:pPr>
            <w:r w:rsidRPr="007E39D2">
              <w:rPr>
                <w:rFonts w:eastAsia="Times New Roman" w:cs="Arial"/>
                <w:b/>
                <w:color w:val="000000"/>
                <w:sz w:val="24"/>
                <w:szCs w:val="24"/>
              </w:rPr>
              <w:t>%</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Central American</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15</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0.4%</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Cuban</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4</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0.1%</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Mexican/Mexican American</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122</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2.9%</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Not of Hispanic Origin</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3617</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87.5%</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Other Hispanic</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102</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2.5%</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Puerto Rican</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66</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1.6%</w:t>
            </w:r>
          </w:p>
        </w:tc>
      </w:tr>
      <w:tr w:rsidR="007E39D2" w:rsidRPr="007E39D2" w:rsidTr="009052C3">
        <w:trPr>
          <w:trHeight w:val="345"/>
        </w:trPr>
        <w:tc>
          <w:tcPr>
            <w:tcW w:w="4600" w:type="dxa"/>
            <w:shd w:val="clear" w:color="auto" w:fill="auto"/>
            <w:vAlign w:val="bottom"/>
            <w:hideMark/>
          </w:tcPr>
          <w:p w:rsidR="007E39D2" w:rsidRPr="00194E43" w:rsidRDefault="007E39D2" w:rsidP="009052C3">
            <w:pPr>
              <w:rPr>
                <w:rFonts w:eastAsia="Times New Roman" w:cs="Arial"/>
                <w:color w:val="000000"/>
              </w:rPr>
            </w:pPr>
            <w:r w:rsidRPr="00194E43">
              <w:rPr>
                <w:rFonts w:eastAsia="Times New Roman" w:cs="Arial"/>
                <w:color w:val="000000"/>
              </w:rPr>
              <w:t>Unknown, not Classified</w:t>
            </w:r>
          </w:p>
        </w:tc>
        <w:tc>
          <w:tcPr>
            <w:tcW w:w="1940" w:type="dxa"/>
            <w:shd w:val="clear" w:color="auto" w:fill="auto"/>
            <w:vAlign w:val="bottom"/>
            <w:hideMark/>
          </w:tcPr>
          <w:p w:rsidR="007E39D2" w:rsidRPr="00194E43" w:rsidRDefault="007E39D2" w:rsidP="009052C3">
            <w:pPr>
              <w:jc w:val="right"/>
              <w:rPr>
                <w:rFonts w:eastAsia="Times New Roman" w:cs="Arial"/>
                <w:color w:val="000000"/>
              </w:rPr>
            </w:pPr>
            <w:r w:rsidRPr="00194E43">
              <w:rPr>
                <w:rFonts w:eastAsia="Times New Roman" w:cs="Arial"/>
                <w:color w:val="000000"/>
              </w:rPr>
              <w:t>210</w:t>
            </w:r>
          </w:p>
        </w:tc>
        <w:tc>
          <w:tcPr>
            <w:tcW w:w="1560" w:type="dxa"/>
            <w:shd w:val="clear" w:color="auto" w:fill="auto"/>
            <w:noWrap/>
            <w:vAlign w:val="bottom"/>
            <w:hideMark/>
          </w:tcPr>
          <w:p w:rsidR="007E39D2" w:rsidRPr="00194E43" w:rsidRDefault="007E39D2" w:rsidP="009052C3">
            <w:pPr>
              <w:jc w:val="right"/>
              <w:rPr>
                <w:rFonts w:eastAsia="Times New Roman" w:cs="Times New Roman"/>
                <w:color w:val="000000"/>
              </w:rPr>
            </w:pPr>
            <w:r w:rsidRPr="00194E43">
              <w:rPr>
                <w:rFonts w:eastAsia="Times New Roman" w:cs="Times New Roman"/>
                <w:color w:val="000000"/>
              </w:rPr>
              <w:t>5.1%</w:t>
            </w:r>
          </w:p>
        </w:tc>
      </w:tr>
      <w:tr w:rsidR="007E39D2" w:rsidRPr="007E39D2" w:rsidTr="009052C3">
        <w:trPr>
          <w:trHeight w:val="345"/>
        </w:trPr>
        <w:tc>
          <w:tcPr>
            <w:tcW w:w="460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 xml:space="preserve">Marital Status </w:t>
            </w:r>
          </w:p>
        </w:tc>
        <w:tc>
          <w:tcPr>
            <w:tcW w:w="194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Count</w:t>
            </w:r>
          </w:p>
        </w:tc>
        <w:tc>
          <w:tcPr>
            <w:tcW w:w="156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eastAsia="Times New Roman" w:cs="Arial"/>
                <w:color w:val="000000"/>
              </w:rPr>
            </w:pPr>
            <w:r w:rsidRPr="007E39D2">
              <w:rPr>
                <w:rFonts w:eastAsia="Times New Roman" w:cs="Arial"/>
                <w:color w:val="000000"/>
              </w:rPr>
              <w:t>Never Married</w:t>
            </w:r>
          </w:p>
        </w:tc>
        <w:tc>
          <w:tcPr>
            <w:tcW w:w="1940" w:type="dxa"/>
            <w:shd w:val="clear" w:color="auto" w:fill="auto"/>
            <w:vAlign w:val="bottom"/>
            <w:hideMark/>
          </w:tcPr>
          <w:p w:rsidR="007E39D2" w:rsidRPr="007E39D2" w:rsidRDefault="007E39D2" w:rsidP="009052C3">
            <w:pPr>
              <w:jc w:val="right"/>
              <w:rPr>
                <w:rFonts w:eastAsia="Times New Roman" w:cs="Arial"/>
                <w:color w:val="000000"/>
              </w:rPr>
            </w:pPr>
            <w:r w:rsidRPr="007E39D2">
              <w:rPr>
                <w:rFonts w:eastAsia="Times New Roman" w:cs="Arial"/>
                <w:color w:val="000000"/>
              </w:rPr>
              <w:t>2975</w:t>
            </w:r>
          </w:p>
        </w:tc>
        <w:tc>
          <w:tcPr>
            <w:tcW w:w="1560" w:type="dxa"/>
            <w:shd w:val="clear" w:color="auto" w:fill="auto"/>
            <w:noWrap/>
            <w:vAlign w:val="bottom"/>
            <w:hideMark/>
          </w:tcPr>
          <w:p w:rsidR="007E39D2" w:rsidRPr="007E39D2" w:rsidRDefault="007E39D2" w:rsidP="009052C3">
            <w:pPr>
              <w:jc w:val="right"/>
              <w:rPr>
                <w:rFonts w:eastAsia="Times New Roman" w:cs="Times New Roman"/>
                <w:color w:val="000000"/>
              </w:rPr>
            </w:pPr>
            <w:r w:rsidRPr="007E39D2">
              <w:rPr>
                <w:rFonts w:eastAsia="Times New Roman" w:cs="Times New Roman"/>
                <w:color w:val="000000"/>
              </w:rPr>
              <w:t>71.9%</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eastAsia="Times New Roman" w:cs="Arial"/>
                <w:color w:val="000000"/>
              </w:rPr>
            </w:pPr>
            <w:r w:rsidRPr="007E39D2">
              <w:rPr>
                <w:rFonts w:eastAsia="Times New Roman" w:cs="Arial"/>
                <w:color w:val="000000"/>
              </w:rPr>
              <w:t>Married</w:t>
            </w:r>
          </w:p>
        </w:tc>
        <w:tc>
          <w:tcPr>
            <w:tcW w:w="1940" w:type="dxa"/>
            <w:shd w:val="clear" w:color="auto" w:fill="auto"/>
            <w:vAlign w:val="bottom"/>
            <w:hideMark/>
          </w:tcPr>
          <w:p w:rsidR="007E39D2" w:rsidRPr="007E39D2" w:rsidRDefault="007E39D2" w:rsidP="009052C3">
            <w:pPr>
              <w:jc w:val="right"/>
              <w:rPr>
                <w:rFonts w:eastAsia="Times New Roman" w:cs="Arial"/>
                <w:color w:val="000000"/>
              </w:rPr>
            </w:pPr>
            <w:r w:rsidRPr="007E39D2">
              <w:rPr>
                <w:rFonts w:eastAsia="Times New Roman" w:cs="Arial"/>
                <w:color w:val="000000"/>
              </w:rPr>
              <w:t>116</w:t>
            </w:r>
          </w:p>
        </w:tc>
        <w:tc>
          <w:tcPr>
            <w:tcW w:w="1560" w:type="dxa"/>
            <w:shd w:val="clear" w:color="auto" w:fill="auto"/>
            <w:noWrap/>
            <w:vAlign w:val="bottom"/>
            <w:hideMark/>
          </w:tcPr>
          <w:p w:rsidR="007E39D2" w:rsidRPr="007E39D2" w:rsidRDefault="007E39D2" w:rsidP="009052C3">
            <w:pPr>
              <w:jc w:val="right"/>
              <w:rPr>
                <w:rFonts w:eastAsia="Times New Roman" w:cs="Times New Roman"/>
                <w:color w:val="000000"/>
              </w:rPr>
            </w:pPr>
            <w:r w:rsidRPr="007E39D2">
              <w:rPr>
                <w:rFonts w:eastAsia="Times New Roman" w:cs="Times New Roman"/>
                <w:color w:val="000000"/>
              </w:rPr>
              <w:t>2.8%</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eastAsia="Times New Roman" w:cs="Arial"/>
                <w:color w:val="000000"/>
              </w:rPr>
            </w:pPr>
            <w:r w:rsidRPr="007E39D2">
              <w:rPr>
                <w:rFonts w:eastAsia="Times New Roman" w:cs="Arial"/>
                <w:color w:val="000000"/>
              </w:rPr>
              <w:t>Widowed</w:t>
            </w:r>
          </w:p>
        </w:tc>
        <w:tc>
          <w:tcPr>
            <w:tcW w:w="1940" w:type="dxa"/>
            <w:shd w:val="clear" w:color="auto" w:fill="auto"/>
            <w:vAlign w:val="bottom"/>
            <w:hideMark/>
          </w:tcPr>
          <w:p w:rsidR="007E39D2" w:rsidRPr="007E39D2" w:rsidRDefault="007E39D2" w:rsidP="009052C3">
            <w:pPr>
              <w:jc w:val="right"/>
              <w:rPr>
                <w:rFonts w:eastAsia="Times New Roman" w:cs="Arial"/>
                <w:color w:val="000000"/>
              </w:rPr>
            </w:pPr>
            <w:r w:rsidRPr="007E39D2">
              <w:rPr>
                <w:rFonts w:eastAsia="Times New Roman" w:cs="Arial"/>
                <w:color w:val="000000"/>
              </w:rPr>
              <w:t>81</w:t>
            </w:r>
          </w:p>
        </w:tc>
        <w:tc>
          <w:tcPr>
            <w:tcW w:w="1560" w:type="dxa"/>
            <w:shd w:val="clear" w:color="auto" w:fill="auto"/>
            <w:noWrap/>
            <w:vAlign w:val="bottom"/>
            <w:hideMark/>
          </w:tcPr>
          <w:p w:rsidR="007E39D2" w:rsidRPr="007E39D2" w:rsidRDefault="007E39D2" w:rsidP="009052C3">
            <w:pPr>
              <w:jc w:val="right"/>
              <w:rPr>
                <w:rFonts w:eastAsia="Times New Roman" w:cs="Times New Roman"/>
                <w:color w:val="000000"/>
              </w:rPr>
            </w:pPr>
            <w:r w:rsidRPr="007E39D2">
              <w:rPr>
                <w:rFonts w:eastAsia="Times New Roman" w:cs="Times New Roman"/>
                <w:color w:val="000000"/>
              </w:rPr>
              <w:t>2.0%</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eastAsia="Times New Roman" w:cs="Arial"/>
                <w:color w:val="000000"/>
              </w:rPr>
            </w:pPr>
            <w:r w:rsidRPr="007E39D2">
              <w:rPr>
                <w:rFonts w:eastAsia="Times New Roman" w:cs="Arial"/>
                <w:color w:val="000000"/>
              </w:rPr>
              <w:t>Divorced</w:t>
            </w:r>
          </w:p>
        </w:tc>
        <w:tc>
          <w:tcPr>
            <w:tcW w:w="1940" w:type="dxa"/>
            <w:shd w:val="clear" w:color="auto" w:fill="auto"/>
            <w:vAlign w:val="bottom"/>
            <w:hideMark/>
          </w:tcPr>
          <w:p w:rsidR="007E39D2" w:rsidRPr="007E39D2" w:rsidRDefault="007E39D2" w:rsidP="009052C3">
            <w:pPr>
              <w:jc w:val="right"/>
              <w:rPr>
                <w:rFonts w:eastAsia="Times New Roman" w:cs="Arial"/>
                <w:color w:val="000000"/>
              </w:rPr>
            </w:pPr>
            <w:r w:rsidRPr="007E39D2">
              <w:rPr>
                <w:rFonts w:eastAsia="Times New Roman" w:cs="Arial"/>
                <w:color w:val="000000"/>
              </w:rPr>
              <w:t>504</w:t>
            </w:r>
          </w:p>
        </w:tc>
        <w:tc>
          <w:tcPr>
            <w:tcW w:w="1560" w:type="dxa"/>
            <w:shd w:val="clear" w:color="auto" w:fill="auto"/>
            <w:noWrap/>
            <w:vAlign w:val="bottom"/>
            <w:hideMark/>
          </w:tcPr>
          <w:p w:rsidR="007E39D2" w:rsidRPr="007E39D2" w:rsidRDefault="007E39D2" w:rsidP="009052C3">
            <w:pPr>
              <w:jc w:val="right"/>
              <w:rPr>
                <w:rFonts w:eastAsia="Times New Roman" w:cs="Times New Roman"/>
                <w:color w:val="000000"/>
              </w:rPr>
            </w:pPr>
            <w:r w:rsidRPr="007E39D2">
              <w:rPr>
                <w:rFonts w:eastAsia="Times New Roman" w:cs="Times New Roman"/>
                <w:color w:val="000000"/>
              </w:rPr>
              <w:t>12.2%</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eastAsia="Times New Roman" w:cs="Arial"/>
                <w:color w:val="000000"/>
              </w:rPr>
            </w:pPr>
            <w:r w:rsidRPr="007E39D2">
              <w:rPr>
                <w:rFonts w:eastAsia="Times New Roman" w:cs="Arial"/>
                <w:color w:val="000000"/>
              </w:rPr>
              <w:t>Separated</w:t>
            </w:r>
          </w:p>
        </w:tc>
        <w:tc>
          <w:tcPr>
            <w:tcW w:w="1940" w:type="dxa"/>
            <w:shd w:val="clear" w:color="auto" w:fill="auto"/>
            <w:vAlign w:val="bottom"/>
            <w:hideMark/>
          </w:tcPr>
          <w:p w:rsidR="007E39D2" w:rsidRPr="007E39D2" w:rsidRDefault="007E39D2" w:rsidP="009052C3">
            <w:pPr>
              <w:jc w:val="right"/>
              <w:rPr>
                <w:rFonts w:eastAsia="Times New Roman" w:cs="Arial"/>
                <w:color w:val="000000"/>
              </w:rPr>
            </w:pPr>
            <w:r w:rsidRPr="007E39D2">
              <w:rPr>
                <w:rFonts w:eastAsia="Times New Roman" w:cs="Arial"/>
                <w:color w:val="000000"/>
              </w:rPr>
              <w:t>121</w:t>
            </w:r>
          </w:p>
        </w:tc>
        <w:tc>
          <w:tcPr>
            <w:tcW w:w="1560" w:type="dxa"/>
            <w:shd w:val="clear" w:color="auto" w:fill="auto"/>
            <w:noWrap/>
            <w:vAlign w:val="bottom"/>
            <w:hideMark/>
          </w:tcPr>
          <w:p w:rsidR="007E39D2" w:rsidRPr="007E39D2" w:rsidRDefault="007E39D2" w:rsidP="009052C3">
            <w:pPr>
              <w:jc w:val="right"/>
              <w:rPr>
                <w:rFonts w:eastAsia="Times New Roman" w:cs="Times New Roman"/>
                <w:color w:val="000000"/>
              </w:rPr>
            </w:pPr>
            <w:r w:rsidRPr="007E39D2">
              <w:rPr>
                <w:rFonts w:eastAsia="Times New Roman" w:cs="Times New Roman"/>
                <w:color w:val="000000"/>
              </w:rPr>
              <w:t>2.9%</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eastAsia="Times New Roman" w:cs="Arial"/>
                <w:color w:val="000000"/>
              </w:rPr>
            </w:pPr>
            <w:r w:rsidRPr="007E39D2">
              <w:rPr>
                <w:rFonts w:eastAsia="Times New Roman" w:cs="Arial"/>
                <w:color w:val="000000"/>
              </w:rPr>
              <w:t>Unknown, declines to specify</w:t>
            </w:r>
          </w:p>
        </w:tc>
        <w:tc>
          <w:tcPr>
            <w:tcW w:w="1940" w:type="dxa"/>
            <w:shd w:val="clear" w:color="auto" w:fill="auto"/>
            <w:vAlign w:val="bottom"/>
            <w:hideMark/>
          </w:tcPr>
          <w:p w:rsidR="007E39D2" w:rsidRPr="007E39D2" w:rsidRDefault="007E39D2" w:rsidP="009052C3">
            <w:pPr>
              <w:jc w:val="right"/>
              <w:rPr>
                <w:rFonts w:eastAsia="Times New Roman" w:cs="Arial"/>
                <w:color w:val="000000"/>
              </w:rPr>
            </w:pPr>
            <w:r w:rsidRPr="007E39D2">
              <w:rPr>
                <w:rFonts w:eastAsia="Times New Roman" w:cs="Arial"/>
                <w:color w:val="000000"/>
              </w:rPr>
              <w:t>339</w:t>
            </w:r>
          </w:p>
        </w:tc>
        <w:tc>
          <w:tcPr>
            <w:tcW w:w="1560" w:type="dxa"/>
            <w:shd w:val="clear" w:color="auto" w:fill="auto"/>
            <w:noWrap/>
            <w:vAlign w:val="bottom"/>
            <w:hideMark/>
          </w:tcPr>
          <w:p w:rsidR="007E39D2" w:rsidRPr="007E39D2" w:rsidRDefault="007E39D2" w:rsidP="009052C3">
            <w:pPr>
              <w:jc w:val="right"/>
              <w:rPr>
                <w:rFonts w:eastAsia="Times New Roman" w:cs="Times New Roman"/>
                <w:color w:val="000000"/>
              </w:rPr>
            </w:pPr>
            <w:r w:rsidRPr="007E39D2">
              <w:rPr>
                <w:rFonts w:eastAsia="Times New Roman" w:cs="Times New Roman"/>
                <w:color w:val="000000"/>
              </w:rPr>
              <w:t>8.2%</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eastAsia="Times New Roman" w:cs="Arial"/>
                <w:color w:val="000000"/>
              </w:rPr>
            </w:pPr>
            <w:r w:rsidRPr="007E39D2">
              <w:rPr>
                <w:rFonts w:eastAsia="Times New Roman" w:cs="Arial"/>
                <w:color w:val="000000"/>
              </w:rPr>
              <w:t>Civil Union</w:t>
            </w:r>
          </w:p>
        </w:tc>
        <w:tc>
          <w:tcPr>
            <w:tcW w:w="1940" w:type="dxa"/>
            <w:shd w:val="clear" w:color="auto" w:fill="auto"/>
            <w:vAlign w:val="bottom"/>
            <w:hideMark/>
          </w:tcPr>
          <w:p w:rsidR="007E39D2" w:rsidRPr="007E39D2" w:rsidRDefault="007E39D2" w:rsidP="009052C3">
            <w:pPr>
              <w:jc w:val="right"/>
              <w:rPr>
                <w:rFonts w:eastAsia="Times New Roman" w:cs="Arial"/>
                <w:color w:val="000000"/>
              </w:rPr>
            </w:pPr>
            <w:r w:rsidRPr="007E39D2">
              <w:rPr>
                <w:rFonts w:eastAsia="Times New Roman" w:cs="Arial"/>
                <w:color w:val="000000"/>
              </w:rPr>
              <w:t>0</w:t>
            </w:r>
          </w:p>
        </w:tc>
        <w:tc>
          <w:tcPr>
            <w:tcW w:w="1560" w:type="dxa"/>
            <w:shd w:val="clear" w:color="auto" w:fill="auto"/>
            <w:noWrap/>
            <w:vAlign w:val="bottom"/>
            <w:hideMark/>
          </w:tcPr>
          <w:p w:rsidR="007E39D2" w:rsidRPr="007E39D2" w:rsidRDefault="007E39D2" w:rsidP="009052C3">
            <w:pPr>
              <w:jc w:val="right"/>
              <w:rPr>
                <w:rFonts w:eastAsia="Times New Roman" w:cs="Times New Roman"/>
                <w:color w:val="000000"/>
              </w:rPr>
            </w:pPr>
            <w:r w:rsidRPr="007E39D2">
              <w:rPr>
                <w:rFonts w:eastAsia="Times New Roman" w:cs="Times New Roman"/>
                <w:color w:val="000000"/>
              </w:rPr>
              <w:t>0.0%</w:t>
            </w:r>
          </w:p>
        </w:tc>
      </w:tr>
    </w:tbl>
    <w:p w:rsidR="007E39D2" w:rsidRPr="007E39D2" w:rsidRDefault="007E39D2" w:rsidP="007E39D2">
      <w:pPr>
        <w:rPr>
          <w:rFonts w:eastAsia="Times New Roman" w:cs="Times New Roman"/>
        </w:rPr>
      </w:pPr>
    </w:p>
    <w:tbl>
      <w:tblPr>
        <w:tblW w:w="8100" w:type="dxa"/>
        <w:tblInd w:w="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0"/>
        <w:gridCol w:w="1940"/>
        <w:gridCol w:w="1560"/>
      </w:tblGrid>
      <w:tr w:rsidR="007E39D2" w:rsidRPr="007E39D2" w:rsidTr="007E39D2">
        <w:trPr>
          <w:trHeight w:val="345"/>
          <w:tblHeader/>
        </w:trPr>
        <w:tc>
          <w:tcPr>
            <w:tcW w:w="460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 xml:space="preserve">Education </w:t>
            </w:r>
          </w:p>
        </w:tc>
        <w:tc>
          <w:tcPr>
            <w:tcW w:w="194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Count</w:t>
            </w:r>
          </w:p>
        </w:tc>
        <w:tc>
          <w:tcPr>
            <w:tcW w:w="156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cs="Arial"/>
                <w:color w:val="000000"/>
              </w:rPr>
            </w:pPr>
            <w:r w:rsidRPr="007E39D2">
              <w:rPr>
                <w:rFonts w:cs="Arial"/>
                <w:color w:val="000000"/>
              </w:rPr>
              <w:t>Never attended school</w:t>
            </w:r>
          </w:p>
        </w:tc>
        <w:tc>
          <w:tcPr>
            <w:tcW w:w="1940" w:type="dxa"/>
            <w:shd w:val="clear" w:color="auto" w:fill="auto"/>
            <w:vAlign w:val="bottom"/>
            <w:hideMark/>
          </w:tcPr>
          <w:p w:rsidR="007E39D2" w:rsidRPr="007E39D2" w:rsidRDefault="007E39D2" w:rsidP="009052C3">
            <w:pPr>
              <w:jc w:val="right"/>
              <w:rPr>
                <w:rFonts w:cs="Arial"/>
                <w:color w:val="000000"/>
              </w:rPr>
            </w:pPr>
            <w:r w:rsidRPr="007E39D2">
              <w:rPr>
                <w:rFonts w:cs="Arial"/>
                <w:color w:val="000000"/>
              </w:rPr>
              <w:t>6</w:t>
            </w:r>
          </w:p>
        </w:tc>
        <w:tc>
          <w:tcPr>
            <w:tcW w:w="1560" w:type="dxa"/>
            <w:shd w:val="clear" w:color="auto" w:fill="auto"/>
            <w:noWrap/>
            <w:vAlign w:val="bottom"/>
            <w:hideMark/>
          </w:tcPr>
          <w:p w:rsidR="007E39D2" w:rsidRPr="007E39D2" w:rsidRDefault="007E39D2" w:rsidP="009052C3">
            <w:pPr>
              <w:jc w:val="right"/>
              <w:rPr>
                <w:rFonts w:cs="Arial"/>
                <w:color w:val="000000"/>
              </w:rPr>
            </w:pPr>
            <w:r w:rsidRPr="007E39D2">
              <w:rPr>
                <w:rFonts w:cs="Arial"/>
                <w:color w:val="000000"/>
              </w:rPr>
              <w:t>0.1%</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cs="Arial"/>
                <w:color w:val="000000"/>
              </w:rPr>
            </w:pPr>
            <w:r w:rsidRPr="007E39D2">
              <w:rPr>
                <w:rFonts w:cs="Arial"/>
                <w:color w:val="000000"/>
              </w:rPr>
              <w:t>Last Primary /Secondary Grade completed – 1</w:t>
            </w:r>
            <w:r w:rsidRPr="007E39D2">
              <w:rPr>
                <w:rFonts w:cs="Arial"/>
                <w:color w:val="000000"/>
                <w:vertAlign w:val="superscript"/>
              </w:rPr>
              <w:t>st</w:t>
            </w:r>
            <w:r w:rsidRPr="007E39D2">
              <w:rPr>
                <w:rFonts w:cs="Arial"/>
                <w:color w:val="000000"/>
              </w:rPr>
              <w:t xml:space="preserve"> thru 11th</w:t>
            </w:r>
          </w:p>
        </w:tc>
        <w:tc>
          <w:tcPr>
            <w:tcW w:w="1940" w:type="dxa"/>
            <w:shd w:val="clear" w:color="auto" w:fill="auto"/>
            <w:vAlign w:val="bottom"/>
            <w:hideMark/>
          </w:tcPr>
          <w:p w:rsidR="007E39D2" w:rsidRPr="007E39D2" w:rsidRDefault="007E39D2" w:rsidP="009052C3">
            <w:pPr>
              <w:jc w:val="right"/>
              <w:rPr>
                <w:rFonts w:cs="Arial"/>
                <w:color w:val="000000"/>
              </w:rPr>
            </w:pPr>
            <w:r w:rsidRPr="007E39D2">
              <w:rPr>
                <w:rFonts w:cs="Arial"/>
                <w:color w:val="000000"/>
              </w:rPr>
              <w:t>885</w:t>
            </w:r>
          </w:p>
        </w:tc>
        <w:tc>
          <w:tcPr>
            <w:tcW w:w="1560" w:type="dxa"/>
            <w:shd w:val="clear" w:color="auto" w:fill="auto"/>
            <w:noWrap/>
            <w:vAlign w:val="bottom"/>
            <w:hideMark/>
          </w:tcPr>
          <w:p w:rsidR="007E39D2" w:rsidRPr="007E39D2" w:rsidRDefault="007E39D2" w:rsidP="009052C3">
            <w:pPr>
              <w:jc w:val="right"/>
              <w:rPr>
                <w:rFonts w:cs="Arial"/>
                <w:color w:val="000000"/>
              </w:rPr>
            </w:pPr>
            <w:r w:rsidRPr="007E39D2">
              <w:rPr>
                <w:rFonts w:cs="Arial"/>
                <w:color w:val="000000"/>
              </w:rPr>
              <w:t>21.4%</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cs="Arial"/>
                <w:color w:val="000000"/>
              </w:rPr>
            </w:pPr>
            <w:r w:rsidRPr="007E39D2">
              <w:rPr>
                <w:rFonts w:cs="Arial"/>
                <w:color w:val="000000"/>
              </w:rPr>
              <w:t>Preschool/Kindergarten</w:t>
            </w:r>
          </w:p>
        </w:tc>
        <w:tc>
          <w:tcPr>
            <w:tcW w:w="1940" w:type="dxa"/>
            <w:shd w:val="clear" w:color="auto" w:fill="auto"/>
            <w:vAlign w:val="bottom"/>
            <w:hideMark/>
          </w:tcPr>
          <w:p w:rsidR="007E39D2" w:rsidRPr="007E39D2" w:rsidRDefault="007E39D2" w:rsidP="009052C3">
            <w:pPr>
              <w:jc w:val="right"/>
              <w:rPr>
                <w:rFonts w:cs="Arial"/>
                <w:color w:val="000000"/>
              </w:rPr>
            </w:pPr>
            <w:r w:rsidRPr="007E39D2">
              <w:rPr>
                <w:rFonts w:cs="Arial"/>
                <w:color w:val="000000"/>
              </w:rPr>
              <w:t>4</w:t>
            </w:r>
          </w:p>
        </w:tc>
        <w:tc>
          <w:tcPr>
            <w:tcW w:w="1560" w:type="dxa"/>
            <w:shd w:val="clear" w:color="auto" w:fill="auto"/>
            <w:noWrap/>
            <w:vAlign w:val="bottom"/>
            <w:hideMark/>
          </w:tcPr>
          <w:p w:rsidR="007E39D2" w:rsidRPr="007E39D2" w:rsidRDefault="007E39D2" w:rsidP="009052C3">
            <w:pPr>
              <w:jc w:val="right"/>
              <w:rPr>
                <w:rFonts w:cs="Arial"/>
                <w:color w:val="000000"/>
              </w:rPr>
            </w:pPr>
            <w:r w:rsidRPr="007E39D2">
              <w:rPr>
                <w:rFonts w:cs="Arial"/>
                <w:color w:val="000000"/>
              </w:rPr>
              <w:t>0.1%</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cs="Arial"/>
                <w:color w:val="000000"/>
              </w:rPr>
            </w:pPr>
            <w:r w:rsidRPr="007E39D2">
              <w:rPr>
                <w:rFonts w:cs="Arial"/>
                <w:color w:val="000000"/>
              </w:rPr>
              <w:t>High School Diploma</w:t>
            </w:r>
          </w:p>
        </w:tc>
        <w:tc>
          <w:tcPr>
            <w:tcW w:w="1940" w:type="dxa"/>
            <w:shd w:val="clear" w:color="auto" w:fill="auto"/>
            <w:vAlign w:val="bottom"/>
            <w:hideMark/>
          </w:tcPr>
          <w:p w:rsidR="007E39D2" w:rsidRPr="007E39D2" w:rsidRDefault="007E39D2" w:rsidP="009052C3">
            <w:pPr>
              <w:jc w:val="right"/>
              <w:rPr>
                <w:rFonts w:cs="Arial"/>
                <w:color w:val="000000"/>
              </w:rPr>
            </w:pPr>
            <w:r w:rsidRPr="007E39D2">
              <w:rPr>
                <w:rFonts w:cs="Arial"/>
                <w:color w:val="000000"/>
              </w:rPr>
              <w:t>1155</w:t>
            </w:r>
          </w:p>
        </w:tc>
        <w:tc>
          <w:tcPr>
            <w:tcW w:w="1560" w:type="dxa"/>
            <w:shd w:val="clear" w:color="auto" w:fill="auto"/>
            <w:noWrap/>
            <w:vAlign w:val="bottom"/>
            <w:hideMark/>
          </w:tcPr>
          <w:p w:rsidR="007E39D2" w:rsidRPr="007E39D2" w:rsidRDefault="007E39D2" w:rsidP="009052C3">
            <w:pPr>
              <w:jc w:val="right"/>
              <w:rPr>
                <w:rFonts w:cs="Arial"/>
                <w:color w:val="000000"/>
              </w:rPr>
            </w:pPr>
            <w:r w:rsidRPr="007E39D2">
              <w:rPr>
                <w:rFonts w:cs="Arial"/>
                <w:color w:val="000000"/>
              </w:rPr>
              <w:t>27.9%</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cs="Arial"/>
                <w:color w:val="000000"/>
              </w:rPr>
            </w:pPr>
            <w:r w:rsidRPr="007E39D2">
              <w:rPr>
                <w:rFonts w:cs="Arial"/>
                <w:color w:val="000000"/>
              </w:rPr>
              <w:t>GED</w:t>
            </w:r>
          </w:p>
        </w:tc>
        <w:tc>
          <w:tcPr>
            <w:tcW w:w="1940" w:type="dxa"/>
            <w:shd w:val="clear" w:color="auto" w:fill="auto"/>
            <w:vAlign w:val="bottom"/>
            <w:hideMark/>
          </w:tcPr>
          <w:p w:rsidR="007E39D2" w:rsidRPr="007E39D2" w:rsidRDefault="007E39D2" w:rsidP="009052C3">
            <w:pPr>
              <w:jc w:val="right"/>
              <w:rPr>
                <w:rFonts w:cs="Arial"/>
                <w:color w:val="000000"/>
              </w:rPr>
            </w:pPr>
            <w:r w:rsidRPr="007E39D2">
              <w:rPr>
                <w:rFonts w:cs="Arial"/>
                <w:color w:val="000000"/>
              </w:rPr>
              <w:t>274</w:t>
            </w:r>
          </w:p>
        </w:tc>
        <w:tc>
          <w:tcPr>
            <w:tcW w:w="1560" w:type="dxa"/>
            <w:shd w:val="clear" w:color="auto" w:fill="auto"/>
            <w:noWrap/>
            <w:vAlign w:val="bottom"/>
            <w:hideMark/>
          </w:tcPr>
          <w:p w:rsidR="007E39D2" w:rsidRPr="007E39D2" w:rsidRDefault="007E39D2" w:rsidP="009052C3">
            <w:pPr>
              <w:jc w:val="right"/>
              <w:rPr>
                <w:rFonts w:cs="Arial"/>
                <w:color w:val="000000"/>
              </w:rPr>
            </w:pPr>
            <w:r w:rsidRPr="007E39D2">
              <w:rPr>
                <w:rFonts w:cs="Arial"/>
                <w:color w:val="000000"/>
              </w:rPr>
              <w:t>6.6%</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cs="Arial"/>
                <w:color w:val="000000"/>
              </w:rPr>
            </w:pPr>
            <w:r w:rsidRPr="007E39D2">
              <w:rPr>
                <w:rFonts w:cs="Arial"/>
                <w:color w:val="000000"/>
              </w:rPr>
              <w:t>Special Education Certificate of completion</w:t>
            </w:r>
          </w:p>
        </w:tc>
        <w:tc>
          <w:tcPr>
            <w:tcW w:w="1940" w:type="dxa"/>
            <w:shd w:val="clear" w:color="auto" w:fill="auto"/>
            <w:vAlign w:val="bottom"/>
            <w:hideMark/>
          </w:tcPr>
          <w:p w:rsidR="007E39D2" w:rsidRPr="007E39D2" w:rsidRDefault="007E39D2" w:rsidP="009052C3">
            <w:pPr>
              <w:jc w:val="right"/>
              <w:rPr>
                <w:rFonts w:cs="Arial"/>
                <w:color w:val="000000"/>
              </w:rPr>
            </w:pPr>
            <w:r w:rsidRPr="007E39D2">
              <w:rPr>
                <w:rFonts w:cs="Arial"/>
                <w:color w:val="000000"/>
              </w:rPr>
              <w:t>11</w:t>
            </w:r>
          </w:p>
        </w:tc>
        <w:tc>
          <w:tcPr>
            <w:tcW w:w="1560" w:type="dxa"/>
            <w:shd w:val="clear" w:color="auto" w:fill="auto"/>
            <w:noWrap/>
            <w:vAlign w:val="bottom"/>
            <w:hideMark/>
          </w:tcPr>
          <w:p w:rsidR="007E39D2" w:rsidRPr="007E39D2" w:rsidRDefault="007E39D2" w:rsidP="009052C3">
            <w:pPr>
              <w:jc w:val="right"/>
              <w:rPr>
                <w:rFonts w:cs="Arial"/>
                <w:color w:val="000000"/>
              </w:rPr>
            </w:pPr>
            <w:r w:rsidRPr="007E39D2">
              <w:rPr>
                <w:rFonts w:cs="Arial"/>
                <w:color w:val="000000"/>
              </w:rPr>
              <w:t>0.3%</w:t>
            </w:r>
          </w:p>
        </w:tc>
      </w:tr>
      <w:tr w:rsidR="007E39D2" w:rsidRPr="007E39D2" w:rsidTr="009052C3">
        <w:trPr>
          <w:trHeight w:val="345"/>
        </w:trPr>
        <w:tc>
          <w:tcPr>
            <w:tcW w:w="4600" w:type="dxa"/>
            <w:shd w:val="clear" w:color="auto" w:fill="auto"/>
            <w:vAlign w:val="bottom"/>
            <w:hideMark/>
          </w:tcPr>
          <w:p w:rsidR="007E39D2" w:rsidRPr="007E39D2" w:rsidRDefault="007E39D2" w:rsidP="009052C3">
            <w:pPr>
              <w:rPr>
                <w:rFonts w:cs="Arial"/>
                <w:color w:val="000000"/>
              </w:rPr>
            </w:pPr>
            <w:r w:rsidRPr="007E39D2">
              <w:rPr>
                <w:rFonts w:cs="Arial"/>
                <w:color w:val="000000"/>
              </w:rPr>
              <w:t>Post-Secondary Training</w:t>
            </w:r>
          </w:p>
        </w:tc>
        <w:tc>
          <w:tcPr>
            <w:tcW w:w="1940" w:type="dxa"/>
            <w:shd w:val="clear" w:color="auto" w:fill="auto"/>
            <w:vAlign w:val="bottom"/>
            <w:hideMark/>
          </w:tcPr>
          <w:p w:rsidR="007E39D2" w:rsidRPr="007E39D2" w:rsidRDefault="007E39D2" w:rsidP="009052C3">
            <w:pPr>
              <w:jc w:val="right"/>
              <w:rPr>
                <w:rFonts w:cs="Arial"/>
                <w:color w:val="000000"/>
              </w:rPr>
            </w:pPr>
            <w:r w:rsidRPr="007E39D2">
              <w:rPr>
                <w:rFonts w:cs="Arial"/>
                <w:color w:val="000000"/>
              </w:rPr>
              <w:t>51</w:t>
            </w:r>
          </w:p>
        </w:tc>
        <w:tc>
          <w:tcPr>
            <w:tcW w:w="1560" w:type="dxa"/>
            <w:shd w:val="clear" w:color="auto" w:fill="auto"/>
            <w:noWrap/>
            <w:vAlign w:val="bottom"/>
            <w:hideMark/>
          </w:tcPr>
          <w:p w:rsidR="007E39D2" w:rsidRPr="007E39D2" w:rsidRDefault="007E39D2" w:rsidP="009052C3">
            <w:pPr>
              <w:jc w:val="right"/>
              <w:rPr>
                <w:rFonts w:cs="Arial"/>
                <w:color w:val="000000"/>
              </w:rPr>
            </w:pPr>
            <w:r w:rsidRPr="007E39D2">
              <w:rPr>
                <w:rFonts w:cs="Arial"/>
                <w:color w:val="000000"/>
              </w:rPr>
              <w:t>1.2%</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cs="Arial"/>
                <w:color w:val="000000"/>
              </w:rPr>
            </w:pPr>
            <w:r w:rsidRPr="007E39D2">
              <w:rPr>
                <w:rFonts w:cs="Arial"/>
                <w:color w:val="000000"/>
              </w:rPr>
              <w:t>One year of college</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334</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8.1%</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cs="Arial"/>
                <w:color w:val="000000"/>
              </w:rPr>
            </w:pPr>
            <w:r w:rsidRPr="007E39D2">
              <w:rPr>
                <w:rFonts w:cs="Arial"/>
                <w:color w:val="000000"/>
              </w:rPr>
              <w:t>Two years of college</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307</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7.4%</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cs="Arial"/>
                <w:color w:val="000000"/>
              </w:rPr>
            </w:pPr>
            <w:r w:rsidRPr="007E39D2">
              <w:rPr>
                <w:rFonts w:cs="Arial"/>
                <w:color w:val="000000"/>
              </w:rPr>
              <w:t>Three years of college</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102</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2.5%</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cs="Arial"/>
                <w:color w:val="000000"/>
              </w:rPr>
            </w:pPr>
            <w:r w:rsidRPr="007E39D2">
              <w:rPr>
                <w:rFonts w:cs="Arial"/>
                <w:color w:val="000000"/>
              </w:rPr>
              <w:t>College Bachelor's Degree</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210</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5.1%</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cs="Arial"/>
                <w:color w:val="000000"/>
              </w:rPr>
            </w:pPr>
            <w:r w:rsidRPr="007E39D2">
              <w:rPr>
                <w:rFonts w:cs="Arial"/>
                <w:color w:val="000000"/>
              </w:rPr>
              <w:t>Post Graduate college degree</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62</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1.5%</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cs="Arial"/>
                <w:color w:val="000000"/>
              </w:rPr>
            </w:pPr>
            <w:r w:rsidRPr="007E39D2">
              <w:rPr>
                <w:rFonts w:cs="Arial"/>
                <w:color w:val="000000"/>
              </w:rPr>
              <w:t>Unknown</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735</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17.8%</w:t>
            </w:r>
          </w:p>
        </w:tc>
      </w:tr>
    </w:tbl>
    <w:p w:rsidR="007E39D2" w:rsidRPr="007E39D2" w:rsidRDefault="007E39D2" w:rsidP="007E39D2">
      <w:pPr>
        <w:rPr>
          <w:rFonts w:eastAsia="Times New Roman" w:cs="Times New Roman"/>
        </w:rPr>
      </w:pPr>
    </w:p>
    <w:tbl>
      <w:tblPr>
        <w:tblW w:w="8100" w:type="dxa"/>
        <w:tblInd w:w="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0"/>
        <w:gridCol w:w="1940"/>
        <w:gridCol w:w="1560"/>
      </w:tblGrid>
      <w:tr w:rsidR="007E39D2" w:rsidRPr="007E39D2" w:rsidTr="007E39D2">
        <w:trPr>
          <w:trHeight w:val="345"/>
          <w:tblHeader/>
        </w:trPr>
        <w:tc>
          <w:tcPr>
            <w:tcW w:w="460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Justice System Involvement</w:t>
            </w:r>
          </w:p>
        </w:tc>
        <w:tc>
          <w:tcPr>
            <w:tcW w:w="194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Count</w:t>
            </w:r>
          </w:p>
        </w:tc>
        <w:tc>
          <w:tcPr>
            <w:tcW w:w="1560" w:type="dxa"/>
            <w:shd w:val="clear" w:color="000000" w:fill="C0C0C0"/>
            <w:noWrap/>
            <w:vAlign w:val="bottom"/>
            <w:hideMark/>
          </w:tcPr>
          <w:p w:rsidR="007E39D2" w:rsidRPr="007E39D2" w:rsidRDefault="007E39D2" w:rsidP="009052C3">
            <w:pPr>
              <w:jc w:val="center"/>
              <w:rPr>
                <w:rFonts w:eastAsia="Times New Roman" w:cs="Arial"/>
                <w:b/>
                <w:color w:val="000000"/>
              </w:rPr>
            </w:pPr>
            <w:r w:rsidRPr="007E39D2">
              <w:rPr>
                <w:rFonts w:eastAsia="Times New Roman" w:cs="Arial"/>
                <w:b/>
                <w:color w:val="000000"/>
              </w:rPr>
              <w:t>%</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 xml:space="preserve">Not applicable </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3414</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82.5%</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Arrested</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58</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1.4%</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Charged with a Crime</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54</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1.3%</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Incarcerated (Jail)</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29</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0.7%</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Incarcerated (Prison)</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10</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0.2%</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Juvenile Detention Center</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4</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0.1%</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Detained (Jail)</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3</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0.1%</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Mental Health Court</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10</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0.2%</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Other</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42</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1.0%</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Unknown</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466</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11.3%</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Adult Probation</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31</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0.7%</w:t>
            </w:r>
          </w:p>
        </w:tc>
      </w:tr>
      <w:tr w:rsidR="007E39D2" w:rsidRPr="007E39D2" w:rsidTr="009052C3">
        <w:trPr>
          <w:trHeight w:val="345"/>
        </w:trPr>
        <w:tc>
          <w:tcPr>
            <w:tcW w:w="4600" w:type="dxa"/>
            <w:shd w:val="clear" w:color="auto" w:fill="auto"/>
            <w:vAlign w:val="bottom"/>
          </w:tcPr>
          <w:p w:rsidR="007E39D2" w:rsidRPr="007E39D2" w:rsidRDefault="007E39D2" w:rsidP="009052C3">
            <w:pPr>
              <w:rPr>
                <w:rFonts w:eastAsia="Times New Roman" w:cs="Arial"/>
                <w:color w:val="000000"/>
              </w:rPr>
            </w:pPr>
            <w:r w:rsidRPr="007E39D2">
              <w:rPr>
                <w:rFonts w:eastAsia="Times New Roman" w:cs="Arial"/>
                <w:color w:val="000000"/>
              </w:rPr>
              <w:t>Adult Parole</w:t>
            </w:r>
          </w:p>
        </w:tc>
        <w:tc>
          <w:tcPr>
            <w:tcW w:w="1940" w:type="dxa"/>
            <w:shd w:val="clear" w:color="auto" w:fill="auto"/>
            <w:vAlign w:val="bottom"/>
          </w:tcPr>
          <w:p w:rsidR="007E39D2" w:rsidRPr="007E39D2" w:rsidRDefault="007E39D2" w:rsidP="009052C3">
            <w:pPr>
              <w:jc w:val="right"/>
              <w:rPr>
                <w:rFonts w:cs="Arial"/>
                <w:color w:val="000000"/>
              </w:rPr>
            </w:pPr>
            <w:r w:rsidRPr="007E39D2">
              <w:rPr>
                <w:rFonts w:cs="Arial"/>
                <w:color w:val="000000"/>
              </w:rPr>
              <w:t>15</w:t>
            </w:r>
          </w:p>
        </w:tc>
        <w:tc>
          <w:tcPr>
            <w:tcW w:w="1560" w:type="dxa"/>
            <w:shd w:val="clear" w:color="auto" w:fill="auto"/>
            <w:noWrap/>
            <w:vAlign w:val="bottom"/>
          </w:tcPr>
          <w:p w:rsidR="007E39D2" w:rsidRPr="007E39D2" w:rsidRDefault="007E39D2" w:rsidP="009052C3">
            <w:pPr>
              <w:jc w:val="right"/>
              <w:rPr>
                <w:rFonts w:cs="Arial"/>
                <w:color w:val="000000"/>
              </w:rPr>
            </w:pPr>
            <w:r w:rsidRPr="007E39D2">
              <w:rPr>
                <w:rFonts w:cs="Arial"/>
                <w:color w:val="000000"/>
              </w:rPr>
              <w:t>0.4%</w:t>
            </w:r>
          </w:p>
        </w:tc>
      </w:tr>
    </w:tbl>
    <w:p w:rsidR="007E39D2" w:rsidRPr="007E39D2" w:rsidRDefault="007E39D2" w:rsidP="007E39D2">
      <w:pPr>
        <w:rPr>
          <w:rFonts w:eastAsia="Times New Roman" w:cs="Times New Roman"/>
        </w:rPr>
      </w:pPr>
    </w:p>
    <w:p w:rsidR="00A7078A" w:rsidRPr="002C61B0" w:rsidRDefault="00A7078A" w:rsidP="00A7078A">
      <w:pPr>
        <w:autoSpaceDE w:val="0"/>
        <w:autoSpaceDN w:val="0"/>
        <w:adjustRightInd w:val="0"/>
        <w:rPr>
          <w:rFonts w:cs="Times New Roman"/>
          <w:b/>
          <w:bCs/>
          <w:i/>
        </w:rPr>
      </w:pPr>
      <w:r w:rsidRPr="002C61B0">
        <w:rPr>
          <w:rFonts w:cs="Times New Roman"/>
          <w:b/>
          <w:bCs/>
          <w:i/>
        </w:rPr>
        <w:t>Residential Living Arrangement</w:t>
      </w:r>
      <w:r w:rsidR="00BA30CC">
        <w:rPr>
          <w:rFonts w:cs="Times New Roman"/>
          <w:b/>
          <w:bCs/>
          <w:i/>
        </w:rPr>
        <w:t xml:space="preserve"> - This demographic data is for all Class Members who have been approved for transition and assigned to and registered by a CMHC.  The information is based on the most recently submitted registration by the CMHC.  </w:t>
      </w:r>
    </w:p>
    <w:p w:rsidR="00A7078A" w:rsidRPr="009A6CC6" w:rsidRDefault="00A7078A" w:rsidP="00A7078A">
      <w:pPr>
        <w:autoSpaceDE w:val="0"/>
        <w:autoSpaceDN w:val="0"/>
        <w:adjustRightInd w:val="0"/>
        <w:rPr>
          <w:rFonts w:cs="Times New Roman"/>
          <w:bCs/>
          <w:color w:val="FF0000"/>
        </w:rPr>
      </w:pPr>
      <w:r w:rsidRPr="002C61B0">
        <w:rPr>
          <w:rFonts w:cs="Times New Roman"/>
          <w:bCs/>
        </w:rPr>
        <w:t xml:space="preserve">A </w:t>
      </w:r>
      <w:r w:rsidR="00D97BD6" w:rsidRPr="002C61B0">
        <w:rPr>
          <w:rFonts w:cs="Times New Roman"/>
          <w:bCs/>
        </w:rPr>
        <w:t>significant</w:t>
      </w:r>
      <w:r w:rsidRPr="002C61B0">
        <w:rPr>
          <w:rFonts w:cs="Times New Roman"/>
          <w:bCs/>
        </w:rPr>
        <w:t xml:space="preserve"> number of </w:t>
      </w:r>
      <w:r w:rsidR="00D97BD6" w:rsidRPr="002C61B0">
        <w:rPr>
          <w:rFonts w:cs="Times New Roman"/>
          <w:bCs/>
        </w:rPr>
        <w:t>Class Members</w:t>
      </w:r>
      <w:r w:rsidRPr="002C61B0">
        <w:rPr>
          <w:rFonts w:cs="Times New Roman"/>
          <w:bCs/>
        </w:rPr>
        <w:t xml:space="preserve"> (27.4%) were reported as residing in private</w:t>
      </w:r>
      <w:r w:rsidR="00D97BD6" w:rsidRPr="002C61B0">
        <w:rPr>
          <w:rFonts w:cs="Times New Roman"/>
          <w:bCs/>
        </w:rPr>
        <w:t xml:space="preserve">, </w:t>
      </w:r>
      <w:r w:rsidRPr="002C61B0">
        <w:rPr>
          <w:rFonts w:cs="Times New Roman"/>
          <w:bCs/>
        </w:rPr>
        <w:t>unsupervised settings (</w:t>
      </w:r>
      <w:r w:rsidR="00C4173B" w:rsidRPr="002C61B0">
        <w:rPr>
          <w:rFonts w:cs="Times New Roman"/>
          <w:bCs/>
        </w:rPr>
        <w:t>P</w:t>
      </w:r>
      <w:r w:rsidRPr="002C61B0">
        <w:rPr>
          <w:rFonts w:cs="Times New Roman"/>
          <w:bCs/>
        </w:rPr>
        <w:t xml:space="preserve">ermanent </w:t>
      </w:r>
      <w:r w:rsidR="00C4173B" w:rsidRPr="002C61B0">
        <w:rPr>
          <w:rFonts w:cs="Times New Roman"/>
          <w:bCs/>
        </w:rPr>
        <w:t>S</w:t>
      </w:r>
      <w:r w:rsidRPr="002C61B0">
        <w:rPr>
          <w:rFonts w:cs="Times New Roman"/>
          <w:bCs/>
        </w:rPr>
        <w:t xml:space="preserve">upportive </w:t>
      </w:r>
      <w:r w:rsidR="00C4173B" w:rsidRPr="002C61B0">
        <w:rPr>
          <w:rFonts w:cs="Times New Roman"/>
          <w:bCs/>
        </w:rPr>
        <w:t>H</w:t>
      </w:r>
      <w:r w:rsidRPr="002C61B0">
        <w:rPr>
          <w:rFonts w:cs="Times New Roman"/>
          <w:bCs/>
        </w:rPr>
        <w:t>ousing)</w:t>
      </w:r>
      <w:r w:rsidR="00D97BD6" w:rsidRPr="002C61B0">
        <w:rPr>
          <w:rFonts w:cs="Times New Roman"/>
          <w:bCs/>
        </w:rPr>
        <w:t>;</w:t>
      </w:r>
      <w:r w:rsidRPr="002C61B0">
        <w:rPr>
          <w:rFonts w:cs="Times New Roman"/>
          <w:bCs/>
        </w:rPr>
        <w:t xml:space="preserve"> 1.0% were reported as living in other unsupervised settings; 14.5% were reported as living in </w:t>
      </w:r>
      <w:r w:rsidR="00D97BD6" w:rsidRPr="002C61B0">
        <w:rPr>
          <w:rFonts w:cs="Times New Roman"/>
          <w:bCs/>
        </w:rPr>
        <w:t xml:space="preserve">24 hour </w:t>
      </w:r>
      <w:r w:rsidRPr="002C61B0">
        <w:rPr>
          <w:rFonts w:cs="Times New Roman"/>
          <w:bCs/>
        </w:rPr>
        <w:t>supervised settings; and 45.3% were reported as residing in institutional settings.  Data was not reported for 220 individuals (5.3%) and a small percentage of individuals were reported as residing in settings other than the ones reported above.</w:t>
      </w:r>
      <w:r w:rsidRPr="009A6CC6">
        <w:rPr>
          <w:rFonts w:cs="Times New Roman"/>
          <w:bCs/>
        </w:rPr>
        <w:t xml:space="preserve"> </w:t>
      </w:r>
      <w:r w:rsidR="00C4173B">
        <w:rPr>
          <w:rFonts w:cs="Times New Roman"/>
          <w:bCs/>
        </w:rPr>
        <w:t xml:space="preserve">   </w:t>
      </w:r>
    </w:p>
    <w:p w:rsidR="00194E43" w:rsidRDefault="00194E43" w:rsidP="00A7078A">
      <w:pPr>
        <w:autoSpaceDE w:val="0"/>
        <w:autoSpaceDN w:val="0"/>
        <w:adjustRightInd w:val="0"/>
        <w:rPr>
          <w:rFonts w:cs="Times New Roman"/>
          <w:b/>
          <w:bCs/>
          <w:i/>
        </w:rPr>
      </w:pPr>
    </w:p>
    <w:p w:rsidR="00A7078A" w:rsidRPr="009A6CC6" w:rsidRDefault="00A7078A" w:rsidP="00A7078A">
      <w:pPr>
        <w:autoSpaceDE w:val="0"/>
        <w:autoSpaceDN w:val="0"/>
        <w:adjustRightInd w:val="0"/>
        <w:rPr>
          <w:rFonts w:cs="Times New Roman"/>
          <w:bCs/>
        </w:rPr>
      </w:pPr>
      <w:r w:rsidRPr="009A6CC6">
        <w:rPr>
          <w:rFonts w:cs="Times New Roman"/>
          <w:b/>
          <w:bCs/>
          <w:i/>
        </w:rPr>
        <w:t>Military Status</w:t>
      </w:r>
    </w:p>
    <w:p w:rsidR="00A7078A" w:rsidRDefault="00A7078A" w:rsidP="00432943">
      <w:pPr>
        <w:autoSpaceDE w:val="0"/>
        <w:autoSpaceDN w:val="0"/>
        <w:adjustRightInd w:val="0"/>
        <w:spacing w:after="0"/>
        <w:rPr>
          <w:rFonts w:cs="Times New Roman"/>
          <w:bCs/>
        </w:rPr>
      </w:pPr>
      <w:r w:rsidRPr="009A6CC6">
        <w:rPr>
          <w:rFonts w:cs="Times New Roman"/>
          <w:bCs/>
        </w:rPr>
        <w:t xml:space="preserve">There were 3.9% of Class Members reported as being a </w:t>
      </w:r>
      <w:r w:rsidR="00D97BD6" w:rsidRPr="009A6CC6">
        <w:rPr>
          <w:rFonts w:cs="Times New Roman"/>
          <w:bCs/>
        </w:rPr>
        <w:t>V</w:t>
      </w:r>
      <w:r w:rsidRPr="009A6CC6">
        <w:rPr>
          <w:rFonts w:cs="Times New Roman"/>
          <w:bCs/>
        </w:rPr>
        <w:t>eteran having formerly served in the military</w:t>
      </w:r>
      <w:r w:rsidRPr="008F3B60">
        <w:rPr>
          <w:rFonts w:cs="Times New Roman"/>
          <w:bCs/>
        </w:rPr>
        <w:t xml:space="preserve">.  There is currently 1 </w:t>
      </w:r>
      <w:r w:rsidR="00D97BD6" w:rsidRPr="008F3B60">
        <w:rPr>
          <w:rFonts w:cs="Times New Roman"/>
          <w:bCs/>
        </w:rPr>
        <w:t>Class Member</w:t>
      </w:r>
      <w:r w:rsidRPr="008F3B60">
        <w:rPr>
          <w:rFonts w:cs="Times New Roman"/>
          <w:bCs/>
        </w:rPr>
        <w:t xml:space="preserve"> listed on active duty.</w:t>
      </w:r>
      <w:r w:rsidRPr="009A6CC6">
        <w:rPr>
          <w:rFonts w:cs="Times New Roman"/>
          <w:bCs/>
        </w:rPr>
        <w:t xml:space="preserve">  There were another 8.1% of Class Members that were listed as unknown</w:t>
      </w:r>
      <w:r w:rsidR="00D97BD6" w:rsidRPr="009A6CC6">
        <w:rPr>
          <w:rFonts w:cs="Times New Roman"/>
          <w:bCs/>
        </w:rPr>
        <w:t xml:space="preserve"> military status</w:t>
      </w:r>
      <w:r w:rsidRPr="009A6CC6">
        <w:rPr>
          <w:rFonts w:cs="Times New Roman"/>
          <w:bCs/>
        </w:rPr>
        <w:t xml:space="preserve">. </w:t>
      </w:r>
    </w:p>
    <w:p w:rsidR="00432943" w:rsidRPr="009A6CC6" w:rsidRDefault="00432943" w:rsidP="00432943">
      <w:pPr>
        <w:autoSpaceDE w:val="0"/>
        <w:autoSpaceDN w:val="0"/>
        <w:adjustRightInd w:val="0"/>
        <w:spacing w:after="0"/>
        <w:rPr>
          <w:rFonts w:cs="Times New Roman"/>
          <w:bCs/>
        </w:rPr>
      </w:pPr>
    </w:p>
    <w:p w:rsidR="00A7078A" w:rsidRPr="009A6CC6" w:rsidRDefault="00A7078A" w:rsidP="00A7078A">
      <w:pPr>
        <w:autoSpaceDE w:val="0"/>
        <w:autoSpaceDN w:val="0"/>
        <w:adjustRightInd w:val="0"/>
        <w:rPr>
          <w:rFonts w:cs="Times New Roman"/>
          <w:b/>
          <w:bCs/>
          <w:i/>
        </w:rPr>
      </w:pPr>
      <w:r w:rsidRPr="009A6CC6">
        <w:rPr>
          <w:rFonts w:cs="Times New Roman"/>
          <w:b/>
          <w:bCs/>
          <w:i/>
        </w:rPr>
        <w:t>Primary Language</w:t>
      </w:r>
    </w:p>
    <w:p w:rsidR="00A7078A" w:rsidRDefault="00A7078A" w:rsidP="00432943">
      <w:pPr>
        <w:autoSpaceDE w:val="0"/>
        <w:autoSpaceDN w:val="0"/>
        <w:adjustRightInd w:val="0"/>
        <w:spacing w:after="0"/>
        <w:rPr>
          <w:rFonts w:cs="Times New Roman"/>
          <w:bCs/>
        </w:rPr>
      </w:pPr>
      <w:r w:rsidRPr="009A6CC6">
        <w:rPr>
          <w:rFonts w:cs="Times New Roman"/>
          <w:bCs/>
        </w:rPr>
        <w:t>The primary language spoken by 97.9% of Class Members English, while .6% reported Spanish</w:t>
      </w:r>
      <w:r w:rsidR="00D97BD6" w:rsidRPr="009A6CC6">
        <w:rPr>
          <w:rFonts w:cs="Times New Roman"/>
          <w:bCs/>
        </w:rPr>
        <w:t xml:space="preserve"> as the</w:t>
      </w:r>
      <w:r w:rsidR="00432943">
        <w:rPr>
          <w:rFonts w:cs="Times New Roman"/>
          <w:bCs/>
        </w:rPr>
        <w:t>ir</w:t>
      </w:r>
      <w:r w:rsidR="00D97BD6" w:rsidRPr="009A6CC6">
        <w:rPr>
          <w:rFonts w:cs="Times New Roman"/>
          <w:bCs/>
        </w:rPr>
        <w:t xml:space="preserve"> primary language</w:t>
      </w:r>
      <w:r w:rsidRPr="009A6CC6">
        <w:rPr>
          <w:rFonts w:cs="Times New Roman"/>
          <w:bCs/>
        </w:rPr>
        <w:t xml:space="preserve"> and another 0.6% reported </w:t>
      </w:r>
      <w:r w:rsidR="00D97BD6" w:rsidRPr="009A6CC6">
        <w:rPr>
          <w:rFonts w:cs="Times New Roman"/>
          <w:bCs/>
        </w:rPr>
        <w:t xml:space="preserve">language preference </w:t>
      </w:r>
      <w:r w:rsidRPr="009A6CC6">
        <w:rPr>
          <w:rFonts w:cs="Times New Roman"/>
          <w:bCs/>
        </w:rPr>
        <w:t>as unknown.</w:t>
      </w:r>
    </w:p>
    <w:p w:rsidR="00432943" w:rsidRPr="009A6CC6" w:rsidRDefault="00432943" w:rsidP="00432943">
      <w:pPr>
        <w:autoSpaceDE w:val="0"/>
        <w:autoSpaceDN w:val="0"/>
        <w:adjustRightInd w:val="0"/>
        <w:spacing w:after="0"/>
        <w:rPr>
          <w:rFonts w:cs="Times New Roman"/>
          <w:bCs/>
        </w:rPr>
      </w:pPr>
    </w:p>
    <w:p w:rsidR="00A7078A" w:rsidRPr="009A6CC6" w:rsidRDefault="00A7078A" w:rsidP="00A7078A">
      <w:pPr>
        <w:autoSpaceDE w:val="0"/>
        <w:autoSpaceDN w:val="0"/>
        <w:adjustRightInd w:val="0"/>
        <w:rPr>
          <w:rFonts w:cs="Times New Roman"/>
          <w:b/>
          <w:bCs/>
          <w:i/>
        </w:rPr>
      </w:pPr>
      <w:r w:rsidRPr="009A6CC6">
        <w:rPr>
          <w:rFonts w:cs="Times New Roman"/>
          <w:b/>
          <w:bCs/>
          <w:i/>
        </w:rPr>
        <w:t>History of Mental Health Treatment</w:t>
      </w:r>
    </w:p>
    <w:p w:rsidR="00A7078A" w:rsidRPr="009A6CC6" w:rsidRDefault="00A7078A" w:rsidP="00A7078A">
      <w:pPr>
        <w:autoSpaceDE w:val="0"/>
        <w:autoSpaceDN w:val="0"/>
        <w:adjustRightInd w:val="0"/>
        <w:rPr>
          <w:rFonts w:cs="Times New Roman"/>
          <w:b/>
          <w:bCs/>
          <w:i/>
        </w:rPr>
      </w:pPr>
      <w:r w:rsidRPr="009A6CC6">
        <w:rPr>
          <w:rFonts w:cs="Times New Roman"/>
          <w:bCs/>
        </w:rPr>
        <w:t>During the registration process, inform</w:t>
      </w:r>
      <w:r w:rsidR="00D97BD6" w:rsidRPr="009A6CC6">
        <w:rPr>
          <w:rFonts w:cs="Times New Roman"/>
          <w:bCs/>
        </w:rPr>
        <w:t xml:space="preserve">ation is gathered regarding a Class Member’s </w:t>
      </w:r>
      <w:r w:rsidRPr="009A6CC6">
        <w:rPr>
          <w:rFonts w:cs="Times New Roman"/>
          <w:bCs/>
        </w:rPr>
        <w:t>history of mental health treatment.  Over forty-five percent (45.4%) have a history of continuous treatment for me</w:t>
      </w:r>
      <w:r w:rsidR="00D97BD6" w:rsidRPr="009A6CC6">
        <w:rPr>
          <w:rFonts w:cs="Times New Roman"/>
          <w:bCs/>
        </w:rPr>
        <w:t>ntal health related problems and</w:t>
      </w:r>
      <w:r w:rsidRPr="009A6CC6">
        <w:rPr>
          <w:rFonts w:cs="Times New Roman"/>
          <w:bCs/>
        </w:rPr>
        <w:t xml:space="preserve"> 63.3% have a history of continuous reside</w:t>
      </w:r>
      <w:r w:rsidR="00D97BD6" w:rsidRPr="009A6CC6">
        <w:rPr>
          <w:rFonts w:cs="Times New Roman"/>
          <w:bCs/>
        </w:rPr>
        <w:t xml:space="preserve">ntial treatment, due to the mental illness.  </w:t>
      </w:r>
      <w:r w:rsidRPr="009A6CC6">
        <w:rPr>
          <w:rFonts w:cs="Times New Roman"/>
          <w:bCs/>
        </w:rPr>
        <w:t>60.3% have a history of living in multiple residential settings.  74.3% of Class Members have a history of receiving outpatient mental health services for their illnesses.  79.6% of Class Members reported having received previous mental health treatment.</w:t>
      </w:r>
    </w:p>
    <w:p w:rsidR="00A7078A" w:rsidRPr="009A6CC6" w:rsidRDefault="00A7078A" w:rsidP="00A7078A">
      <w:pPr>
        <w:rPr>
          <w:rFonts w:eastAsia="Times New Roman" w:cs="Times New Roman"/>
          <w:i/>
        </w:rPr>
      </w:pPr>
      <w:r w:rsidRPr="009A6CC6">
        <w:rPr>
          <w:rFonts w:eastAsia="Times New Roman" w:cs="Times New Roman"/>
          <w:b/>
          <w:i/>
        </w:rPr>
        <w:t>Level of Care Utilization Scale Scores Based on Assessor Recommendation</w:t>
      </w:r>
    </w:p>
    <w:p w:rsidR="00A7078A" w:rsidRDefault="002819B5" w:rsidP="00A7078A">
      <w:pPr>
        <w:rPr>
          <w:rFonts w:eastAsia="Times New Roman" w:cs="Times New Roman"/>
        </w:rPr>
      </w:pPr>
      <w:r>
        <w:rPr>
          <w:rFonts w:eastAsia="Times New Roman" w:cs="Times New Roman"/>
        </w:rPr>
        <w:t xml:space="preserve">The LOCUS is completed during the Resident Review assessment/interview.  </w:t>
      </w:r>
      <w:r w:rsidR="00A7078A" w:rsidRPr="009A6CC6">
        <w:rPr>
          <w:rFonts w:eastAsia="Times New Roman" w:cs="Times New Roman"/>
        </w:rPr>
        <w:t>More than twenty-four percent (24.6%) of the Class Members included in this analysis were recommended by the assessor to receive high intensity community</w:t>
      </w:r>
      <w:r w:rsidR="00964563">
        <w:rPr>
          <w:rFonts w:eastAsia="Times New Roman" w:cs="Times New Roman"/>
        </w:rPr>
        <w:t>-</w:t>
      </w:r>
      <w:r w:rsidR="00A7078A" w:rsidRPr="009A6CC6">
        <w:rPr>
          <w:rFonts w:eastAsia="Times New Roman" w:cs="Times New Roman"/>
        </w:rPr>
        <w:t>based services (level 3) based on the results of the L</w:t>
      </w:r>
      <w:r w:rsidR="00D97BD6" w:rsidRPr="009A6CC6">
        <w:rPr>
          <w:rFonts w:eastAsia="Times New Roman" w:cs="Times New Roman"/>
        </w:rPr>
        <w:t>evel of Care Utilization Scale (L</w:t>
      </w:r>
      <w:r w:rsidR="00A7078A" w:rsidRPr="009A6CC6">
        <w:rPr>
          <w:rFonts w:eastAsia="Times New Roman" w:cs="Times New Roman"/>
        </w:rPr>
        <w:t>OCUS</w:t>
      </w:r>
      <w:r w:rsidR="00D97BD6" w:rsidRPr="009A6CC6">
        <w:rPr>
          <w:rFonts w:eastAsia="Times New Roman" w:cs="Times New Roman"/>
        </w:rPr>
        <w:t>)</w:t>
      </w:r>
      <w:r w:rsidR="00A7078A" w:rsidRPr="009A6CC6">
        <w:rPr>
          <w:rFonts w:eastAsia="Times New Roman" w:cs="Times New Roman"/>
        </w:rPr>
        <w:t xml:space="preserve"> </w:t>
      </w:r>
      <w:r w:rsidR="00D97BD6" w:rsidRPr="009A6CC6">
        <w:rPr>
          <w:rFonts w:eastAsia="Times New Roman" w:cs="Times New Roman"/>
        </w:rPr>
        <w:t>composite score</w:t>
      </w:r>
      <w:r w:rsidR="00A7078A" w:rsidRPr="009A6CC6">
        <w:rPr>
          <w:rFonts w:eastAsia="Times New Roman" w:cs="Times New Roman"/>
        </w:rPr>
        <w:t>.  An additional forty-one (41.0%) percent were recommended for Medically Monitored Services</w:t>
      </w:r>
      <w:r w:rsidR="00D97BD6" w:rsidRPr="009A6CC6">
        <w:rPr>
          <w:rFonts w:eastAsia="Times New Roman" w:cs="Times New Roman"/>
        </w:rPr>
        <w:t>;</w:t>
      </w:r>
      <w:r w:rsidR="00A7078A" w:rsidRPr="009A6CC6">
        <w:rPr>
          <w:rFonts w:eastAsia="Times New Roman" w:cs="Times New Roman"/>
        </w:rPr>
        <w:t xml:space="preserve"> 32.4% were recommended for Non-Residential </w:t>
      </w:r>
      <w:r w:rsidR="00D97BD6" w:rsidRPr="009A6CC6">
        <w:rPr>
          <w:rFonts w:eastAsia="Times New Roman" w:cs="Times New Roman"/>
        </w:rPr>
        <w:t>Services and</w:t>
      </w:r>
      <w:r w:rsidR="00A7078A" w:rsidRPr="009A6CC6">
        <w:rPr>
          <w:rFonts w:eastAsia="Times New Roman" w:cs="Times New Roman"/>
        </w:rPr>
        <w:t xml:space="preserve"> 8.6% were recommended for Residential</w:t>
      </w:r>
      <w:r w:rsidR="00D97BD6" w:rsidRPr="009A6CC6">
        <w:rPr>
          <w:rFonts w:eastAsia="Times New Roman" w:cs="Times New Roman"/>
        </w:rPr>
        <w:t xml:space="preserve"> Services</w:t>
      </w:r>
      <w:r w:rsidR="00A7078A" w:rsidRPr="009A6CC6">
        <w:rPr>
          <w:rFonts w:eastAsia="Times New Roman" w:cs="Times New Roman"/>
        </w:rPr>
        <w:t xml:space="preserve">.  2.8% were recommended for a Medically Managed level of Residential Services. </w:t>
      </w:r>
      <w:r w:rsidR="00D97BD6" w:rsidRPr="009A6CC6">
        <w:rPr>
          <w:rFonts w:eastAsia="Times New Roman" w:cs="Times New Roman"/>
        </w:rPr>
        <w:t xml:space="preserve"> </w:t>
      </w:r>
      <w:r w:rsidR="00A7078A" w:rsidRPr="009A6CC6">
        <w:rPr>
          <w:rFonts w:eastAsia="Times New Roman" w:cs="Times New Roman"/>
        </w:rPr>
        <w:t>7.5% percent were recommended for Low</w:t>
      </w:r>
      <w:r w:rsidR="00D97BD6" w:rsidRPr="009A6CC6">
        <w:rPr>
          <w:rFonts w:eastAsia="Times New Roman" w:cs="Times New Roman"/>
        </w:rPr>
        <w:t>-</w:t>
      </w:r>
      <w:r w:rsidR="00A7078A" w:rsidRPr="009A6CC6">
        <w:rPr>
          <w:rFonts w:eastAsia="Times New Roman" w:cs="Times New Roman"/>
        </w:rPr>
        <w:t>Intensity Com</w:t>
      </w:r>
      <w:r w:rsidR="00D97BD6" w:rsidRPr="009A6CC6">
        <w:rPr>
          <w:rFonts w:eastAsia="Times New Roman" w:cs="Times New Roman"/>
        </w:rPr>
        <w:t>munity-Based Services and</w:t>
      </w:r>
      <w:r w:rsidR="00A7078A" w:rsidRPr="009A6CC6">
        <w:rPr>
          <w:rFonts w:eastAsia="Times New Roman" w:cs="Times New Roman"/>
        </w:rPr>
        <w:t xml:space="preserve"> 0.9% was recommended for Recovery Maintenance and Health Management.  LOCUS scores were missing for 23.1% of the cohort.</w:t>
      </w:r>
      <w:r w:rsidR="00BA30CC">
        <w:rPr>
          <w:rFonts w:eastAsia="Times New Roman" w:cs="Times New Roman"/>
        </w:rPr>
        <w:t xml:space="preserve">    This demographic data is for all Class Members who have been approved for transition and who are assigned to and registered by a CMHC.  </w:t>
      </w:r>
      <w:r w:rsidR="00026141">
        <w:rPr>
          <w:rFonts w:eastAsia="Times New Roman" w:cs="Times New Roman"/>
        </w:rPr>
        <w:t>The information is based on the most recently submitted registration by the CMHC.  The analysis is based on the baseline provided in the first paragraph of the ‘Characteristics’ section, 4136.</w:t>
      </w:r>
    </w:p>
    <w:p w:rsidR="00026141" w:rsidRDefault="00026141" w:rsidP="00A7078A">
      <w:pPr>
        <w:rPr>
          <w:rFonts w:eastAsia="Times New Roman" w:cs="Times New Roman"/>
        </w:rPr>
      </w:pPr>
    </w:p>
    <w:p w:rsidR="00026141" w:rsidRPr="009A6CC6" w:rsidRDefault="00026141" w:rsidP="00A7078A">
      <w:pPr>
        <w:rPr>
          <w:rFonts w:eastAsia="Times New Roman" w:cs="Times New Roman"/>
        </w:rPr>
      </w:pPr>
    </w:p>
    <w:p w:rsidR="00A7078A" w:rsidRPr="009A6CC6" w:rsidRDefault="00A7078A" w:rsidP="00A7078A">
      <w:pPr>
        <w:rPr>
          <w:rFonts w:eastAsia="Times New Roman" w:cs="Times New Roman"/>
          <w:b/>
          <w:i/>
          <w:color w:val="FF0000"/>
        </w:rPr>
      </w:pPr>
      <w:r w:rsidRPr="009A6CC6">
        <w:rPr>
          <w:rFonts w:eastAsia="Times New Roman" w:cs="Times New Roman"/>
          <w:b/>
          <w:i/>
        </w:rPr>
        <w:t>Diagnosis</w:t>
      </w:r>
    </w:p>
    <w:p w:rsidR="00A7078A" w:rsidRPr="009A6CC6" w:rsidRDefault="00A7078A" w:rsidP="00A7078A">
      <w:pPr>
        <w:rPr>
          <w:rFonts w:eastAsia="Times New Roman" w:cs="Times New Roman"/>
          <w:b/>
          <w:i/>
        </w:rPr>
      </w:pPr>
      <w:r w:rsidRPr="009A6CC6">
        <w:rPr>
          <w:rFonts w:eastAsia="Times New Roman" w:cs="Times New Roman"/>
        </w:rPr>
        <w:t xml:space="preserve">There was a substantial change implemented effective October 1, 2015.  Diagnosis reporting was required to change from ICD-9 to ICD-10 values as of that date.  The results of ICD-9 values were reported for the period of July 1, 2015 to September 30, 2015.  From October 1, 2015 through the date of this report (June 30, 2018), any new registered </w:t>
      </w:r>
      <w:r w:rsidR="00D97BD6" w:rsidRPr="009A6CC6">
        <w:rPr>
          <w:rFonts w:eastAsia="Times New Roman" w:cs="Times New Roman"/>
        </w:rPr>
        <w:t>Class Members</w:t>
      </w:r>
      <w:r w:rsidRPr="009A6CC6">
        <w:rPr>
          <w:rFonts w:eastAsia="Times New Roman" w:cs="Times New Roman"/>
        </w:rPr>
        <w:t xml:space="preserve"> w</w:t>
      </w:r>
      <w:r w:rsidR="00D97BD6" w:rsidRPr="009A6CC6">
        <w:rPr>
          <w:rFonts w:eastAsia="Times New Roman" w:cs="Times New Roman"/>
        </w:rPr>
        <w:t>ill</w:t>
      </w:r>
      <w:r w:rsidRPr="009A6CC6">
        <w:rPr>
          <w:rFonts w:eastAsia="Times New Roman" w:cs="Times New Roman"/>
        </w:rPr>
        <w:t xml:space="preserve"> require </w:t>
      </w:r>
      <w:r w:rsidR="00D97BD6" w:rsidRPr="009A6CC6">
        <w:rPr>
          <w:rFonts w:eastAsia="Times New Roman" w:cs="Times New Roman"/>
        </w:rPr>
        <w:t>the</w:t>
      </w:r>
      <w:r w:rsidRPr="009A6CC6">
        <w:rPr>
          <w:rFonts w:eastAsia="Times New Roman" w:cs="Times New Roman"/>
        </w:rPr>
        <w:t xml:space="preserve"> use </w:t>
      </w:r>
      <w:r w:rsidR="00D97BD6" w:rsidRPr="009A6CC6">
        <w:rPr>
          <w:rFonts w:eastAsia="Times New Roman" w:cs="Times New Roman"/>
        </w:rPr>
        <w:t xml:space="preserve">of </w:t>
      </w:r>
      <w:r w:rsidRPr="009A6CC6">
        <w:rPr>
          <w:rFonts w:eastAsia="Times New Roman" w:cs="Times New Roman"/>
        </w:rPr>
        <w:t>ICD-10 values.  Of the 4</w:t>
      </w:r>
      <w:r w:rsidR="00D97BD6" w:rsidRPr="009A6CC6">
        <w:rPr>
          <w:rFonts w:eastAsia="Times New Roman" w:cs="Times New Roman"/>
        </w:rPr>
        <w:t>,</w:t>
      </w:r>
      <w:r w:rsidRPr="009A6CC6">
        <w:rPr>
          <w:rFonts w:eastAsia="Times New Roman" w:cs="Times New Roman"/>
        </w:rPr>
        <w:t xml:space="preserve">136 </w:t>
      </w:r>
      <w:r w:rsidR="00D97BD6" w:rsidRPr="009A6CC6">
        <w:rPr>
          <w:rFonts w:eastAsia="Times New Roman" w:cs="Times New Roman"/>
        </w:rPr>
        <w:t>Class Member</w:t>
      </w:r>
      <w:r w:rsidRPr="009A6CC6">
        <w:rPr>
          <w:rFonts w:eastAsia="Times New Roman" w:cs="Times New Roman"/>
        </w:rPr>
        <w:t xml:space="preserve"> reported, less than 17% a</w:t>
      </w:r>
      <w:r w:rsidR="00F32EA1">
        <w:rPr>
          <w:rFonts w:eastAsia="Times New Roman" w:cs="Times New Roman"/>
        </w:rPr>
        <w:t xml:space="preserve">re still showing ICD-9 values. </w:t>
      </w:r>
      <w:r w:rsidRPr="009A6CC6">
        <w:rPr>
          <w:rFonts w:eastAsia="Times New Roman" w:cs="Times New Roman"/>
        </w:rPr>
        <w:t xml:space="preserve">Re-registration is not required if a </w:t>
      </w:r>
      <w:r w:rsidR="00D97BD6" w:rsidRPr="009A6CC6">
        <w:rPr>
          <w:rFonts w:eastAsia="Times New Roman" w:cs="Times New Roman"/>
        </w:rPr>
        <w:t>Class Member</w:t>
      </w:r>
      <w:r w:rsidRPr="009A6CC6">
        <w:rPr>
          <w:rFonts w:eastAsia="Times New Roman" w:cs="Times New Roman"/>
        </w:rPr>
        <w:t xml:space="preserve"> is</w:t>
      </w:r>
      <w:r w:rsidR="00F32EA1">
        <w:rPr>
          <w:rFonts w:eastAsia="Times New Roman" w:cs="Times New Roman"/>
        </w:rPr>
        <w:t xml:space="preserve"> no longer receiving services. </w:t>
      </w:r>
      <w:r w:rsidRPr="009A6CC6">
        <w:rPr>
          <w:rFonts w:eastAsia="Times New Roman" w:cs="Times New Roman"/>
        </w:rPr>
        <w:t>The most frequent counts are broken out in the bullet points below.</w:t>
      </w:r>
      <w:r w:rsidR="00026141">
        <w:rPr>
          <w:rFonts w:eastAsia="Times New Roman" w:cs="Times New Roman"/>
        </w:rPr>
        <w:t xml:space="preserve">  This data is not collected pre-transition.  This demographic data is for all Class Members who have been approved for transition and assigned to and registered by a CMHC.   The information is based on the most recently submitted registration by the CMHC.</w:t>
      </w:r>
    </w:p>
    <w:p w:rsidR="00A7078A" w:rsidRPr="002819B5" w:rsidRDefault="00A7078A" w:rsidP="00A7078A">
      <w:pPr>
        <w:pStyle w:val="ListParagraph"/>
        <w:widowControl/>
        <w:numPr>
          <w:ilvl w:val="0"/>
          <w:numId w:val="2"/>
        </w:numPr>
        <w:spacing w:line="276" w:lineRule="auto"/>
        <w:contextualSpacing/>
        <w:rPr>
          <w:rFonts w:eastAsia="Times New Roman" w:cs="Times New Roman"/>
          <w:i/>
        </w:rPr>
      </w:pPr>
      <w:r w:rsidRPr="009A6CC6">
        <w:rPr>
          <w:rFonts w:eastAsia="Times New Roman" w:cs="Times New Roman"/>
          <w:i/>
        </w:rPr>
        <w:t>ICD-9 Frequencies</w:t>
      </w:r>
      <w:r w:rsidRPr="002819B5">
        <w:rPr>
          <w:rFonts w:eastAsia="Times New Roman" w:cs="Times New Roman"/>
          <w:i/>
        </w:rPr>
        <w:t>:</w:t>
      </w:r>
      <w:r w:rsidR="00026141" w:rsidRPr="002819B5">
        <w:rPr>
          <w:rFonts w:eastAsia="Times New Roman" w:cs="Times New Roman"/>
          <w:i/>
        </w:rPr>
        <w:t xml:space="preserve">   N= </w:t>
      </w:r>
      <w:r w:rsidR="00520EAD" w:rsidRPr="002819B5">
        <w:rPr>
          <w:rFonts w:eastAsia="Times New Roman" w:cs="Times New Roman"/>
          <w:i/>
        </w:rPr>
        <w:t>692</w:t>
      </w:r>
    </w:p>
    <w:p w:rsidR="00A7078A" w:rsidRPr="009A6CC6" w:rsidRDefault="00A7078A" w:rsidP="00A7078A">
      <w:pPr>
        <w:pStyle w:val="ListParagraph"/>
        <w:widowControl/>
        <w:numPr>
          <w:ilvl w:val="1"/>
          <w:numId w:val="2"/>
        </w:numPr>
        <w:spacing w:line="276" w:lineRule="auto"/>
        <w:contextualSpacing/>
        <w:rPr>
          <w:rFonts w:eastAsia="Times New Roman" w:cs="Times New Roman"/>
        </w:rPr>
      </w:pPr>
      <w:r w:rsidRPr="009A6CC6">
        <w:rPr>
          <w:rFonts w:eastAsia="Times New Roman" w:cs="Times New Roman"/>
        </w:rPr>
        <w:t xml:space="preserve">73.6% of </w:t>
      </w:r>
      <w:r w:rsidR="00D97BD6" w:rsidRPr="009A6CC6">
        <w:rPr>
          <w:rFonts w:eastAsia="Times New Roman" w:cs="Times New Roman"/>
        </w:rPr>
        <w:t>C</w:t>
      </w:r>
      <w:r w:rsidRPr="009A6CC6">
        <w:rPr>
          <w:rFonts w:eastAsia="Times New Roman" w:cs="Times New Roman"/>
        </w:rPr>
        <w:t xml:space="preserve">lass </w:t>
      </w:r>
      <w:r w:rsidR="00D97BD6" w:rsidRPr="009A6CC6">
        <w:rPr>
          <w:rFonts w:eastAsia="Times New Roman" w:cs="Times New Roman"/>
        </w:rPr>
        <w:t>M</w:t>
      </w:r>
      <w:r w:rsidRPr="009A6CC6">
        <w:rPr>
          <w:rFonts w:eastAsia="Times New Roman" w:cs="Times New Roman"/>
        </w:rPr>
        <w:t>embers had a primary diagnosis of schizophrenia and other psychotic disorders</w:t>
      </w:r>
    </w:p>
    <w:p w:rsidR="00A7078A" w:rsidRPr="009A6CC6" w:rsidRDefault="00A7078A" w:rsidP="00A7078A">
      <w:pPr>
        <w:pStyle w:val="ListParagraph"/>
        <w:widowControl/>
        <w:numPr>
          <w:ilvl w:val="1"/>
          <w:numId w:val="2"/>
        </w:numPr>
        <w:spacing w:line="276" w:lineRule="auto"/>
        <w:contextualSpacing/>
        <w:rPr>
          <w:rFonts w:eastAsia="Times New Roman" w:cs="Times New Roman"/>
        </w:rPr>
      </w:pPr>
      <w:r w:rsidRPr="009A6CC6">
        <w:rPr>
          <w:rFonts w:eastAsia="Times New Roman" w:cs="Times New Roman"/>
        </w:rPr>
        <w:t>24.0% were diagnosed with bipolar and mood disorders.</w:t>
      </w:r>
    </w:p>
    <w:p w:rsidR="00A7078A" w:rsidRPr="009A6CC6" w:rsidRDefault="00A7078A" w:rsidP="00A7078A">
      <w:pPr>
        <w:pStyle w:val="ListParagraph"/>
        <w:widowControl/>
        <w:numPr>
          <w:ilvl w:val="1"/>
          <w:numId w:val="2"/>
        </w:numPr>
        <w:spacing w:line="276" w:lineRule="auto"/>
        <w:contextualSpacing/>
        <w:rPr>
          <w:rFonts w:eastAsia="Times New Roman" w:cs="Times New Roman"/>
        </w:rPr>
      </w:pPr>
      <w:r w:rsidRPr="009A6CC6">
        <w:rPr>
          <w:rFonts w:eastAsia="Times New Roman" w:cs="Times New Roman"/>
        </w:rPr>
        <w:t>The remainder of diagnosis values fell under the following categories: Adjustment Disorders, Anxiety and Stress Disorders and Other Mental Disorders.</w:t>
      </w:r>
    </w:p>
    <w:p w:rsidR="00D176D9" w:rsidRPr="009A6CC6" w:rsidRDefault="00D176D9" w:rsidP="00D176D9">
      <w:pPr>
        <w:rPr>
          <w:rFonts w:eastAsia="Times New Roman" w:cs="Times New Roman"/>
          <w:b/>
          <w:i/>
        </w:rPr>
      </w:pPr>
      <w:bookmarkStart w:id="6" w:name="_Hlk521932984"/>
      <w:r>
        <w:rPr>
          <w:rFonts w:eastAsia="Times New Roman" w:cs="Times New Roman"/>
        </w:rPr>
        <w:t xml:space="preserve">Note:  This demographic data is for Class Members that have been approved for transition and assigned to and registered by a CMHC.   The information is based on the most recently submitted registration by the CMHC. </w:t>
      </w:r>
      <w:bookmarkEnd w:id="6"/>
      <w:r>
        <w:rPr>
          <w:rFonts w:eastAsia="Times New Roman" w:cs="Times New Roman"/>
        </w:rPr>
        <w:t xml:space="preserve"> The ICD9 is 17% as stated in the paragraph for this section.</w:t>
      </w:r>
    </w:p>
    <w:p w:rsidR="00A7078A" w:rsidRPr="009A6CC6" w:rsidRDefault="00A7078A" w:rsidP="00A7078A">
      <w:pPr>
        <w:pStyle w:val="ListParagraph"/>
        <w:widowControl/>
        <w:spacing w:line="276" w:lineRule="auto"/>
        <w:ind w:left="2160"/>
        <w:contextualSpacing/>
        <w:rPr>
          <w:rFonts w:eastAsia="Times New Roman" w:cs="Times New Roman"/>
        </w:rPr>
      </w:pPr>
    </w:p>
    <w:p w:rsidR="00A7078A" w:rsidRPr="002819B5" w:rsidRDefault="00A7078A" w:rsidP="00A7078A">
      <w:pPr>
        <w:pStyle w:val="ListParagraph"/>
        <w:widowControl/>
        <w:numPr>
          <w:ilvl w:val="0"/>
          <w:numId w:val="2"/>
        </w:numPr>
        <w:spacing w:line="276" w:lineRule="auto"/>
        <w:contextualSpacing/>
        <w:rPr>
          <w:rFonts w:eastAsia="Times New Roman" w:cs="Times New Roman"/>
          <w:i/>
        </w:rPr>
      </w:pPr>
      <w:r w:rsidRPr="009A6CC6">
        <w:rPr>
          <w:rFonts w:eastAsia="Times New Roman" w:cs="Times New Roman"/>
          <w:i/>
        </w:rPr>
        <w:t>ICD-10 Frequencies:</w:t>
      </w:r>
      <w:r w:rsidR="00495BFC">
        <w:rPr>
          <w:rFonts w:eastAsia="Times New Roman" w:cs="Times New Roman"/>
          <w:i/>
        </w:rPr>
        <w:t xml:space="preserve">  </w:t>
      </w:r>
      <w:r w:rsidR="00495BFC" w:rsidRPr="002819B5">
        <w:rPr>
          <w:rFonts w:eastAsia="Times New Roman" w:cs="Times New Roman"/>
          <w:i/>
        </w:rPr>
        <w:t>N=</w:t>
      </w:r>
      <w:r w:rsidR="00520EAD" w:rsidRPr="002819B5">
        <w:rPr>
          <w:rFonts w:eastAsia="Times New Roman" w:cs="Times New Roman"/>
          <w:i/>
        </w:rPr>
        <w:t>3,544</w:t>
      </w:r>
    </w:p>
    <w:p w:rsidR="00A7078A" w:rsidRPr="009A6CC6" w:rsidRDefault="00A7078A" w:rsidP="00A7078A">
      <w:pPr>
        <w:pStyle w:val="ListParagraph"/>
        <w:widowControl/>
        <w:numPr>
          <w:ilvl w:val="1"/>
          <w:numId w:val="2"/>
        </w:numPr>
        <w:spacing w:line="276" w:lineRule="auto"/>
        <w:contextualSpacing/>
        <w:rPr>
          <w:rFonts w:eastAsia="Times New Roman" w:cs="Times New Roman"/>
        </w:rPr>
      </w:pPr>
      <w:r w:rsidRPr="009A6CC6">
        <w:rPr>
          <w:rFonts w:eastAsia="Times New Roman" w:cs="Times New Roman"/>
        </w:rPr>
        <w:t xml:space="preserve">66.8% of </w:t>
      </w:r>
      <w:r w:rsidR="00D97BD6" w:rsidRPr="009A6CC6">
        <w:rPr>
          <w:rFonts w:eastAsia="Times New Roman" w:cs="Times New Roman"/>
        </w:rPr>
        <w:t>C</w:t>
      </w:r>
      <w:r w:rsidRPr="009A6CC6">
        <w:rPr>
          <w:rFonts w:eastAsia="Times New Roman" w:cs="Times New Roman"/>
        </w:rPr>
        <w:t xml:space="preserve">lass </w:t>
      </w:r>
      <w:r w:rsidR="00D97BD6" w:rsidRPr="009A6CC6">
        <w:rPr>
          <w:rFonts w:eastAsia="Times New Roman" w:cs="Times New Roman"/>
        </w:rPr>
        <w:t>M</w:t>
      </w:r>
      <w:r w:rsidRPr="009A6CC6">
        <w:rPr>
          <w:rFonts w:eastAsia="Times New Roman" w:cs="Times New Roman"/>
        </w:rPr>
        <w:t>embers had a primary diagnosis of schizophrenia and other psychotic disorders</w:t>
      </w:r>
    </w:p>
    <w:p w:rsidR="00A7078A" w:rsidRPr="009A6CC6" w:rsidRDefault="00A7078A" w:rsidP="00A7078A">
      <w:pPr>
        <w:pStyle w:val="ListParagraph"/>
        <w:widowControl/>
        <w:numPr>
          <w:ilvl w:val="1"/>
          <w:numId w:val="2"/>
        </w:numPr>
        <w:spacing w:line="276" w:lineRule="auto"/>
        <w:contextualSpacing/>
        <w:rPr>
          <w:rFonts w:eastAsia="Times New Roman" w:cs="Times New Roman"/>
        </w:rPr>
      </w:pPr>
      <w:r w:rsidRPr="009A6CC6">
        <w:rPr>
          <w:rFonts w:eastAsia="Times New Roman" w:cs="Times New Roman"/>
        </w:rPr>
        <w:t>30.1% were diagnosed with bipolar and mood disorders.</w:t>
      </w:r>
    </w:p>
    <w:p w:rsidR="00A7078A" w:rsidRPr="009A6CC6" w:rsidRDefault="00A7078A" w:rsidP="00A7078A">
      <w:pPr>
        <w:pStyle w:val="ListParagraph"/>
        <w:widowControl/>
        <w:numPr>
          <w:ilvl w:val="1"/>
          <w:numId w:val="2"/>
        </w:numPr>
        <w:spacing w:line="276" w:lineRule="auto"/>
        <w:contextualSpacing/>
        <w:rPr>
          <w:rFonts w:eastAsia="Times New Roman" w:cs="Times New Roman"/>
        </w:rPr>
      </w:pPr>
      <w:r w:rsidRPr="009A6CC6">
        <w:rPr>
          <w:rFonts w:eastAsia="Times New Roman" w:cs="Times New Roman"/>
        </w:rPr>
        <w:t>The remainder of diagnosis values fell under the following categories: Anxiety and Stress Disorders, Disorders of childhood or adolescence and Other Mental Disorders.</w:t>
      </w:r>
    </w:p>
    <w:p w:rsidR="00520EAD" w:rsidRPr="002819B5" w:rsidRDefault="00D176D9" w:rsidP="00520EAD">
      <w:pPr>
        <w:pStyle w:val="PlainText"/>
      </w:pPr>
      <w:r w:rsidRPr="00495BFC">
        <w:rPr>
          <w:rFonts w:eastAsia="Times New Roman" w:cs="Times New Roman"/>
        </w:rPr>
        <w:t xml:space="preserve">Note:  This demographic data is for Class Members </w:t>
      </w:r>
      <w:r>
        <w:rPr>
          <w:rFonts w:eastAsia="Times New Roman" w:cs="Times New Roman"/>
        </w:rPr>
        <w:t xml:space="preserve">that </w:t>
      </w:r>
      <w:r w:rsidRPr="00495BFC">
        <w:rPr>
          <w:rFonts w:eastAsia="Times New Roman" w:cs="Times New Roman"/>
        </w:rPr>
        <w:t>have been approved for transition and assigned to and registered by a CMHC.   The information is based on the most recently submitted registration by the CMHC.</w:t>
      </w:r>
      <w:r>
        <w:rPr>
          <w:rFonts w:eastAsia="Times New Roman" w:cs="Times New Roman"/>
        </w:rPr>
        <w:t xml:space="preserve">  The ICD10 is 83%, though not noted, is the difference from the paragraph for this section where the ICD9 is noted as 17%.</w:t>
      </w:r>
      <w:r w:rsidR="00520EAD">
        <w:rPr>
          <w:rFonts w:eastAsia="Times New Roman" w:cs="Times New Roman"/>
        </w:rPr>
        <w:t xml:space="preserve">  </w:t>
      </w:r>
      <w:r w:rsidR="00520EAD" w:rsidRPr="002819B5">
        <w:t xml:space="preserve">Out of 4,136 Class Members registered, 692 are still showing ICD-9 diagnosis </w:t>
      </w:r>
      <w:r w:rsidR="002819B5" w:rsidRPr="00D97E40">
        <w:t>codes</w:t>
      </w:r>
      <w:r w:rsidR="00520EAD" w:rsidRPr="00964563">
        <w:t xml:space="preserve">. </w:t>
      </w:r>
      <w:r w:rsidR="002819B5" w:rsidRPr="00D97E40">
        <w:t>For</w:t>
      </w:r>
      <w:r w:rsidR="00520EAD" w:rsidRPr="00964563">
        <w:t xml:space="preserve"> </w:t>
      </w:r>
      <w:r w:rsidR="00520EAD" w:rsidRPr="002819B5">
        <w:t xml:space="preserve">Class Members who still have ICD-9 codes in the system, upon re-registration or new registration, their ICD-9 diagnosis codes will be changed to ICD-10 diagnostic codes. </w:t>
      </w:r>
    </w:p>
    <w:p w:rsidR="00D176D9" w:rsidRDefault="00D176D9" w:rsidP="00A7078A">
      <w:pPr>
        <w:autoSpaceDE w:val="0"/>
        <w:autoSpaceDN w:val="0"/>
        <w:adjustRightInd w:val="0"/>
        <w:rPr>
          <w:rFonts w:cs="Times New Roman"/>
          <w:b/>
          <w:i/>
        </w:rPr>
      </w:pPr>
    </w:p>
    <w:p w:rsidR="00A7078A" w:rsidRPr="009A6CC6" w:rsidRDefault="00A7078A" w:rsidP="00A7078A">
      <w:pPr>
        <w:autoSpaceDE w:val="0"/>
        <w:autoSpaceDN w:val="0"/>
        <w:adjustRightInd w:val="0"/>
        <w:rPr>
          <w:rFonts w:cs="Times New Roman"/>
          <w:b/>
          <w:i/>
        </w:rPr>
      </w:pPr>
      <w:r w:rsidRPr="009A6CC6">
        <w:rPr>
          <w:rFonts w:cs="Times New Roman"/>
          <w:b/>
          <w:i/>
        </w:rPr>
        <w:t>Functional Impairment</w:t>
      </w:r>
    </w:p>
    <w:p w:rsidR="00A7078A" w:rsidRPr="009A6CC6" w:rsidRDefault="00A7078A" w:rsidP="00A7078A">
      <w:pPr>
        <w:autoSpaceDE w:val="0"/>
        <w:autoSpaceDN w:val="0"/>
        <w:adjustRightInd w:val="0"/>
        <w:rPr>
          <w:rFonts w:cs="Times New Roman"/>
          <w:b/>
          <w:i/>
        </w:rPr>
      </w:pPr>
      <w:r w:rsidRPr="009A6CC6">
        <w:rPr>
          <w:rFonts w:cs="Times New Roman"/>
        </w:rPr>
        <w:t>The Global Assessment of Functioning (GAF) Scale is used to determine functional impairment of an individual in the psychological, social and occupational spheres of their lives.  The scale ranges from 0 to 100 with 0 representing lowest level of functioning or the highest level of impairment.  Class Members GAF scores ranged from 0 to 99, with an average of 42.6 which represents, “…</w:t>
      </w:r>
      <w:r w:rsidRPr="009A6CC6">
        <w:rPr>
          <w:rFonts w:cs="Times New Roman"/>
          <w:bCs/>
        </w:rPr>
        <w:t xml:space="preserve">Serious symptoms or any serious impairment in social, occupational, or school functioning.” </w:t>
      </w:r>
      <w:r w:rsidR="0079665B">
        <w:rPr>
          <w:rFonts w:cs="Times New Roman"/>
          <w:bCs/>
        </w:rPr>
        <w:t xml:space="preserve"> </w:t>
      </w:r>
      <w:r w:rsidR="00AC69F0">
        <w:rPr>
          <w:rFonts w:cs="Times New Roman"/>
          <w:bCs/>
        </w:rPr>
        <w:t>All data under Characteristics is collected on Class Members who have been approved for transition, assigned to a CMHC and a registration has been submitted by the CMHC.</w:t>
      </w:r>
      <w:r w:rsidR="0054165E">
        <w:rPr>
          <w:rFonts w:cs="Times New Roman"/>
          <w:bCs/>
        </w:rPr>
        <w:t xml:space="preserve">   The GAF is completed by the CMHC</w:t>
      </w:r>
      <w:r w:rsidR="006E550D">
        <w:rPr>
          <w:rFonts w:cs="Times New Roman"/>
          <w:bCs/>
        </w:rPr>
        <w:t xml:space="preserve"> during their Intake process</w:t>
      </w:r>
      <w:r w:rsidR="007C7FB4">
        <w:rPr>
          <w:rFonts w:cs="Times New Roman"/>
          <w:bCs/>
        </w:rPr>
        <w:t>.</w:t>
      </w:r>
    </w:p>
    <w:p w:rsidR="00A7078A" w:rsidRPr="009A6CC6" w:rsidRDefault="00A7078A" w:rsidP="00A7078A">
      <w:pPr>
        <w:autoSpaceDE w:val="0"/>
        <w:autoSpaceDN w:val="0"/>
        <w:adjustRightInd w:val="0"/>
        <w:rPr>
          <w:rFonts w:cs="Times New Roman"/>
          <w:b/>
          <w:bCs/>
          <w:i/>
        </w:rPr>
      </w:pPr>
      <w:r w:rsidRPr="009A6CC6">
        <w:rPr>
          <w:rFonts w:cs="Times New Roman"/>
          <w:b/>
          <w:bCs/>
          <w:i/>
        </w:rPr>
        <w:t>Other Areas of Functional Impairment</w:t>
      </w:r>
      <w:r w:rsidR="00AC69F0">
        <w:rPr>
          <w:rFonts w:cs="Times New Roman"/>
          <w:b/>
          <w:bCs/>
          <w:i/>
        </w:rPr>
        <w:t xml:space="preserve">  </w:t>
      </w:r>
    </w:p>
    <w:p w:rsidR="00A7078A" w:rsidRPr="009A6CC6" w:rsidRDefault="009A6CC6" w:rsidP="00A7078A">
      <w:pPr>
        <w:autoSpaceDE w:val="0"/>
        <w:autoSpaceDN w:val="0"/>
        <w:adjustRightInd w:val="0"/>
        <w:rPr>
          <w:rFonts w:cs="Times New Roman"/>
          <w:b/>
          <w:bCs/>
          <w:i/>
        </w:rPr>
      </w:pPr>
      <w:r w:rsidRPr="009A6CC6">
        <w:rPr>
          <w:rFonts w:cs="Times New Roman"/>
          <w:bCs/>
        </w:rPr>
        <w:t xml:space="preserve">Williams </w:t>
      </w:r>
      <w:r w:rsidR="00A7078A" w:rsidRPr="009A6CC6">
        <w:rPr>
          <w:rFonts w:cs="Times New Roman"/>
          <w:bCs/>
        </w:rPr>
        <w:t xml:space="preserve">providers are asked to rate an individual’s serious functional impairment in 7 areas as part of the registration/enrollment process: </w:t>
      </w:r>
      <w:r w:rsidRPr="009A6CC6">
        <w:rPr>
          <w:rFonts w:cs="Times New Roman"/>
          <w:bCs/>
        </w:rPr>
        <w:t xml:space="preserve">(1) </w:t>
      </w:r>
      <w:r w:rsidR="00A7078A" w:rsidRPr="009A6CC6">
        <w:rPr>
          <w:rFonts w:cs="Times New Roman"/>
          <w:bCs/>
        </w:rPr>
        <w:t xml:space="preserve">Social/Group Functioning, </w:t>
      </w:r>
      <w:r w:rsidRPr="009A6CC6">
        <w:rPr>
          <w:rFonts w:cs="Times New Roman"/>
          <w:bCs/>
        </w:rPr>
        <w:t xml:space="preserve">(2) </w:t>
      </w:r>
      <w:r w:rsidR="00A7078A" w:rsidRPr="009A6CC6">
        <w:rPr>
          <w:rFonts w:cs="Times New Roman"/>
          <w:bCs/>
        </w:rPr>
        <w:t xml:space="preserve">Employment, </w:t>
      </w:r>
      <w:r w:rsidRPr="009A6CC6">
        <w:rPr>
          <w:rFonts w:cs="Times New Roman"/>
          <w:bCs/>
        </w:rPr>
        <w:t xml:space="preserve">(3) </w:t>
      </w:r>
      <w:r w:rsidR="00A7078A" w:rsidRPr="009A6CC6">
        <w:rPr>
          <w:rFonts w:cs="Times New Roman"/>
          <w:bCs/>
        </w:rPr>
        <w:t xml:space="preserve">Community Living, </w:t>
      </w:r>
      <w:r w:rsidRPr="009A6CC6">
        <w:rPr>
          <w:rFonts w:cs="Times New Roman"/>
          <w:bCs/>
        </w:rPr>
        <w:t xml:space="preserve">(4) </w:t>
      </w:r>
      <w:r w:rsidR="00A7078A" w:rsidRPr="009A6CC6">
        <w:rPr>
          <w:rFonts w:cs="Times New Roman"/>
          <w:bCs/>
        </w:rPr>
        <w:t xml:space="preserve">Financial, </w:t>
      </w:r>
      <w:r w:rsidRPr="009A6CC6">
        <w:rPr>
          <w:rFonts w:cs="Times New Roman"/>
          <w:bCs/>
        </w:rPr>
        <w:t xml:space="preserve">(5) </w:t>
      </w:r>
      <w:r w:rsidR="00A7078A" w:rsidRPr="009A6CC6">
        <w:rPr>
          <w:rFonts w:cs="Times New Roman"/>
          <w:bCs/>
        </w:rPr>
        <w:t xml:space="preserve">Supportive/Social, </w:t>
      </w:r>
      <w:r w:rsidRPr="009A6CC6">
        <w:rPr>
          <w:rFonts w:cs="Times New Roman"/>
          <w:bCs/>
        </w:rPr>
        <w:t xml:space="preserve">(6) </w:t>
      </w:r>
      <w:r w:rsidR="00A7078A" w:rsidRPr="009A6CC6">
        <w:rPr>
          <w:rFonts w:cs="Times New Roman"/>
          <w:bCs/>
        </w:rPr>
        <w:t xml:space="preserve">Daily Living Activities and </w:t>
      </w:r>
      <w:r w:rsidRPr="009A6CC6">
        <w:rPr>
          <w:rFonts w:cs="Times New Roman"/>
          <w:bCs/>
        </w:rPr>
        <w:t xml:space="preserve">(7) </w:t>
      </w:r>
      <w:r w:rsidR="00A7078A" w:rsidRPr="009A6CC6">
        <w:rPr>
          <w:rFonts w:cs="Times New Roman"/>
          <w:bCs/>
        </w:rPr>
        <w:t xml:space="preserve">Inappropriate Dangerous Behavior.  Seventy-four percent (74.9%) of </w:t>
      </w:r>
      <w:r w:rsidRPr="009A6CC6">
        <w:rPr>
          <w:rFonts w:cs="Times New Roman"/>
          <w:bCs/>
        </w:rPr>
        <w:t>C</w:t>
      </w:r>
      <w:r w:rsidR="00A7078A" w:rsidRPr="009A6CC6">
        <w:rPr>
          <w:rFonts w:cs="Times New Roman"/>
          <w:bCs/>
        </w:rPr>
        <w:t xml:space="preserve">lass </w:t>
      </w:r>
      <w:r w:rsidRPr="009A6CC6">
        <w:rPr>
          <w:rFonts w:cs="Times New Roman"/>
          <w:bCs/>
        </w:rPr>
        <w:t>M</w:t>
      </w:r>
      <w:r w:rsidR="00A7078A" w:rsidRPr="009A6CC6">
        <w:rPr>
          <w:rFonts w:cs="Times New Roman"/>
          <w:bCs/>
        </w:rPr>
        <w:t xml:space="preserve">embers were identified as having a </w:t>
      </w:r>
      <w:r w:rsidRPr="009A6CC6">
        <w:rPr>
          <w:rFonts w:cs="Times New Roman"/>
          <w:bCs/>
        </w:rPr>
        <w:t>s</w:t>
      </w:r>
      <w:r w:rsidR="00A7078A" w:rsidRPr="009A6CC6">
        <w:rPr>
          <w:rFonts w:cs="Times New Roman"/>
          <w:bCs/>
        </w:rPr>
        <w:t xml:space="preserve">erious functional impairment in the </w:t>
      </w:r>
      <w:r w:rsidRPr="009A6CC6">
        <w:rPr>
          <w:rFonts w:cs="Times New Roman"/>
          <w:bCs/>
        </w:rPr>
        <w:t>E</w:t>
      </w:r>
      <w:r w:rsidR="00A7078A" w:rsidRPr="009A6CC6">
        <w:rPr>
          <w:rFonts w:cs="Times New Roman"/>
          <w:bCs/>
        </w:rPr>
        <w:t xml:space="preserve">mployment area, 68.6% in the </w:t>
      </w:r>
      <w:r w:rsidRPr="009A6CC6">
        <w:rPr>
          <w:rFonts w:cs="Times New Roman"/>
          <w:bCs/>
        </w:rPr>
        <w:t>F</w:t>
      </w:r>
      <w:r w:rsidR="00A7078A" w:rsidRPr="009A6CC6">
        <w:rPr>
          <w:rFonts w:cs="Times New Roman"/>
          <w:bCs/>
        </w:rPr>
        <w:t xml:space="preserve">inancial area, 69.3% in Social/Group functioning and 65.0% in Community Living area.  Over 59 percent (59.8%) had a serious functional impairment in the </w:t>
      </w:r>
      <w:r w:rsidRPr="009A6CC6">
        <w:rPr>
          <w:rFonts w:cs="Times New Roman"/>
          <w:bCs/>
        </w:rPr>
        <w:t>S</w:t>
      </w:r>
      <w:r w:rsidR="00A7078A" w:rsidRPr="009A6CC6">
        <w:rPr>
          <w:rFonts w:cs="Times New Roman"/>
          <w:bCs/>
        </w:rPr>
        <w:t>upportive/</w:t>
      </w:r>
      <w:r w:rsidRPr="009A6CC6">
        <w:rPr>
          <w:rFonts w:cs="Times New Roman"/>
          <w:bCs/>
        </w:rPr>
        <w:t>S</w:t>
      </w:r>
      <w:r w:rsidR="00A7078A" w:rsidRPr="009A6CC6">
        <w:rPr>
          <w:rFonts w:cs="Times New Roman"/>
          <w:bCs/>
        </w:rPr>
        <w:t xml:space="preserve">ocial area, 50.9% in </w:t>
      </w:r>
      <w:r w:rsidRPr="009A6CC6">
        <w:rPr>
          <w:rFonts w:cs="Times New Roman"/>
          <w:bCs/>
        </w:rPr>
        <w:t>A</w:t>
      </w:r>
      <w:r w:rsidR="00A7078A" w:rsidRPr="009A6CC6">
        <w:rPr>
          <w:rFonts w:cs="Times New Roman"/>
          <w:bCs/>
        </w:rPr>
        <w:t xml:space="preserve">ctivities of </w:t>
      </w:r>
      <w:r w:rsidRPr="009A6CC6">
        <w:rPr>
          <w:rFonts w:cs="Times New Roman"/>
          <w:bCs/>
        </w:rPr>
        <w:t>D</w:t>
      </w:r>
      <w:r w:rsidR="00A7078A" w:rsidRPr="009A6CC6">
        <w:rPr>
          <w:rFonts w:cs="Times New Roman"/>
          <w:bCs/>
        </w:rPr>
        <w:t xml:space="preserve">aily </w:t>
      </w:r>
      <w:r w:rsidRPr="009A6CC6">
        <w:rPr>
          <w:rFonts w:cs="Times New Roman"/>
          <w:bCs/>
        </w:rPr>
        <w:t>L</w:t>
      </w:r>
      <w:r w:rsidR="00A7078A" w:rsidRPr="009A6CC6">
        <w:rPr>
          <w:rFonts w:cs="Times New Roman"/>
          <w:bCs/>
        </w:rPr>
        <w:t xml:space="preserve">iving and 39.2% had a serious impairment in relation to </w:t>
      </w:r>
      <w:r w:rsidRPr="009A6CC6">
        <w:rPr>
          <w:rFonts w:cs="Times New Roman"/>
          <w:bCs/>
        </w:rPr>
        <w:t>I</w:t>
      </w:r>
      <w:r w:rsidR="00A7078A" w:rsidRPr="009A6CC6">
        <w:rPr>
          <w:rFonts w:cs="Times New Roman"/>
          <w:bCs/>
        </w:rPr>
        <w:t xml:space="preserve">nappropriate or </w:t>
      </w:r>
      <w:r w:rsidRPr="009A6CC6">
        <w:rPr>
          <w:rFonts w:cs="Times New Roman"/>
          <w:bCs/>
        </w:rPr>
        <w:t>D</w:t>
      </w:r>
      <w:r w:rsidR="00A7078A" w:rsidRPr="009A6CC6">
        <w:rPr>
          <w:rFonts w:cs="Times New Roman"/>
          <w:bCs/>
        </w:rPr>
        <w:t xml:space="preserve">angerous </w:t>
      </w:r>
      <w:r w:rsidRPr="009A6CC6">
        <w:rPr>
          <w:rFonts w:cs="Times New Roman"/>
          <w:bCs/>
        </w:rPr>
        <w:t>B</w:t>
      </w:r>
      <w:r w:rsidR="00A7078A" w:rsidRPr="009A6CC6">
        <w:rPr>
          <w:rFonts w:cs="Times New Roman"/>
          <w:bCs/>
        </w:rPr>
        <w:t xml:space="preserve">ehavior.  It was also reported that 75.1% of the </w:t>
      </w:r>
      <w:r w:rsidRPr="009A6CC6">
        <w:rPr>
          <w:rFonts w:cs="Times New Roman"/>
          <w:bCs/>
        </w:rPr>
        <w:t>C</w:t>
      </w:r>
      <w:r w:rsidR="00A7078A" w:rsidRPr="009A6CC6">
        <w:rPr>
          <w:rFonts w:cs="Times New Roman"/>
          <w:bCs/>
        </w:rPr>
        <w:t xml:space="preserve">lass </w:t>
      </w:r>
      <w:r w:rsidRPr="009A6CC6">
        <w:rPr>
          <w:rFonts w:cs="Times New Roman"/>
          <w:bCs/>
        </w:rPr>
        <w:t>M</w:t>
      </w:r>
      <w:r w:rsidR="00A7078A" w:rsidRPr="009A6CC6">
        <w:rPr>
          <w:rFonts w:cs="Times New Roman"/>
          <w:bCs/>
        </w:rPr>
        <w:t>embers had a previous functional impairment.</w:t>
      </w:r>
      <w:r w:rsidR="00AC69F0">
        <w:rPr>
          <w:rFonts w:cs="Times New Roman"/>
          <w:bCs/>
        </w:rPr>
        <w:t xml:space="preserve">  Registration and enrollment occurs pre-transition.  The demographic data is for any Class Member that has been approved for transition and assigned to a CMHC and registered by the CMHC.</w:t>
      </w:r>
    </w:p>
    <w:p w:rsidR="00A7078A" w:rsidRPr="009A6CC6" w:rsidRDefault="00A7078A" w:rsidP="00A7078A">
      <w:pPr>
        <w:autoSpaceDE w:val="0"/>
        <w:autoSpaceDN w:val="0"/>
        <w:adjustRightInd w:val="0"/>
        <w:rPr>
          <w:rFonts w:cs="Times New Roman"/>
          <w:b/>
          <w:bCs/>
          <w:i/>
        </w:rPr>
      </w:pPr>
      <w:r w:rsidRPr="009A6CC6">
        <w:rPr>
          <w:rFonts w:cs="Times New Roman"/>
          <w:b/>
          <w:bCs/>
          <w:i/>
        </w:rPr>
        <w:t>Comparison to Previous Analysis for December 2017 Cohort</w:t>
      </w:r>
    </w:p>
    <w:p w:rsidR="00A7078A" w:rsidRDefault="00A7078A" w:rsidP="00A7078A">
      <w:pPr>
        <w:rPr>
          <w:rFonts w:cs="Times New Roman"/>
          <w:bCs/>
        </w:rPr>
      </w:pPr>
      <w:r w:rsidRPr="009A6CC6">
        <w:rPr>
          <w:rFonts w:cs="Times New Roman"/>
          <w:bCs/>
        </w:rPr>
        <w:t xml:space="preserve">The prior analysis of descriptive demographic and clinical data for Williams Class Members registered in the DMH Community Information System was performed in December 2017 for </w:t>
      </w:r>
      <w:r w:rsidR="009A6CC6" w:rsidRPr="009A6CC6">
        <w:rPr>
          <w:rFonts w:cs="Times New Roman"/>
          <w:bCs/>
        </w:rPr>
        <w:t>C</w:t>
      </w:r>
      <w:r w:rsidRPr="009A6CC6">
        <w:rPr>
          <w:rFonts w:cs="Times New Roman"/>
          <w:bCs/>
        </w:rPr>
        <w:t xml:space="preserve">lass </w:t>
      </w:r>
      <w:r w:rsidR="009A6CC6" w:rsidRPr="009A6CC6">
        <w:rPr>
          <w:rFonts w:cs="Times New Roman"/>
          <w:bCs/>
        </w:rPr>
        <w:t>M</w:t>
      </w:r>
      <w:r w:rsidRPr="009A6CC6">
        <w:rPr>
          <w:rFonts w:cs="Times New Roman"/>
          <w:bCs/>
        </w:rPr>
        <w:t xml:space="preserve">embers.  A comparison of the data for this period to the previous period reveals that there is little variability in the descriptive information reported for the two cohorts.  </w:t>
      </w:r>
      <w:proofErr w:type="gramStart"/>
      <w:r w:rsidRPr="009A6CC6">
        <w:rPr>
          <w:rFonts w:cs="Times New Roman"/>
          <w:bCs/>
        </w:rPr>
        <w:t>The majority of</w:t>
      </w:r>
      <w:proofErr w:type="gramEnd"/>
      <w:r w:rsidRPr="009A6CC6">
        <w:rPr>
          <w:rFonts w:cs="Times New Roman"/>
          <w:bCs/>
        </w:rPr>
        <w:t xml:space="preserve"> values show little change while some have had a low variance compared to the previous analysis.</w:t>
      </w:r>
    </w:p>
    <w:p w:rsidR="009052C3" w:rsidRPr="009A6CC6" w:rsidRDefault="009052C3" w:rsidP="009052C3">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rPr>
      </w:pPr>
      <w:r w:rsidRPr="009A6CC6">
        <w:rPr>
          <w:i/>
        </w:rPr>
        <w:t xml:space="preserve">Quality </w:t>
      </w:r>
      <w:bookmarkStart w:id="7" w:name="_Hlk520207784"/>
      <w:r w:rsidRPr="009A6CC6">
        <w:rPr>
          <w:i/>
        </w:rPr>
        <w:t>of Life Surveys</w:t>
      </w:r>
    </w:p>
    <w:bookmarkEnd w:id="7"/>
    <w:p w:rsidR="009052C3" w:rsidRDefault="009052C3" w:rsidP="00432943">
      <w:pPr>
        <w:spacing w:after="0"/>
        <w:rPr>
          <w:rFonts w:eastAsia="Arial"/>
        </w:rPr>
      </w:pPr>
      <w:r w:rsidRPr="009A6CC6">
        <w:rPr>
          <w:rFonts w:eastAsia="Arial"/>
        </w:rPr>
        <w:t xml:space="preserve">The Division of Mental Health considers the evaluation of care provided directly from Class Members to be of paramount importance in evaluating the services </w:t>
      </w:r>
      <w:r w:rsidR="00F32EA1">
        <w:rPr>
          <w:rFonts w:eastAsia="Arial"/>
        </w:rPr>
        <w:t xml:space="preserve">received by these individuals. </w:t>
      </w:r>
      <w:r w:rsidRPr="009A6CC6">
        <w:rPr>
          <w:rFonts w:eastAsia="Arial"/>
        </w:rPr>
        <w:t>Quality of Life Surveys, which are administered to Class Members prior to discharge from the IMD/SMHRFs, at intervals of 6 months post discharge (up to 18 months), are used to gather this information. Quality of Life surveys used to evaluation the Consent Decree are comprised of two separate surveys: the Lehmann Brief Quality of Life Survey and the Mental Health Statistics Improvement Program (MHSIP) Adult Evaluation of Care Survey. This report will focus on the results of the later survey.</w:t>
      </w:r>
    </w:p>
    <w:p w:rsidR="00432943" w:rsidRDefault="00432943" w:rsidP="00432943">
      <w:pPr>
        <w:spacing w:after="0"/>
        <w:rPr>
          <w:rFonts w:eastAsia="Arial"/>
        </w:rPr>
      </w:pPr>
    </w:p>
    <w:p w:rsidR="00592CFD" w:rsidRDefault="00592CFD" w:rsidP="00432943">
      <w:pPr>
        <w:spacing w:after="0"/>
        <w:rPr>
          <w:rFonts w:eastAsia="Arial"/>
        </w:rPr>
      </w:pPr>
    </w:p>
    <w:p w:rsidR="00592CFD" w:rsidRDefault="00592CFD" w:rsidP="00432943">
      <w:pPr>
        <w:spacing w:after="0"/>
        <w:rPr>
          <w:rFonts w:eastAsia="Arial"/>
        </w:rPr>
      </w:pPr>
    </w:p>
    <w:p w:rsidR="00592CFD" w:rsidRPr="009A6CC6" w:rsidRDefault="00592CFD" w:rsidP="00432943">
      <w:pPr>
        <w:spacing w:after="0"/>
        <w:rPr>
          <w:rFonts w:eastAsia="Arial"/>
        </w:rPr>
      </w:pPr>
    </w:p>
    <w:p w:rsidR="00DB6BDD" w:rsidRDefault="00DB6BDD" w:rsidP="009052C3">
      <w:pPr>
        <w:pStyle w:val="BodyText"/>
        <w:ind w:left="0"/>
        <w:rPr>
          <w:rFonts w:asciiTheme="minorHAnsi" w:hAnsiTheme="minorHAnsi"/>
          <w:b/>
          <w:spacing w:val="-2"/>
          <w:sz w:val="22"/>
          <w:szCs w:val="22"/>
          <w:u w:val="thick" w:color="000000"/>
        </w:rPr>
      </w:pPr>
    </w:p>
    <w:p w:rsidR="009052C3" w:rsidRPr="009A6CC6" w:rsidRDefault="009052C3" w:rsidP="009052C3">
      <w:pPr>
        <w:pStyle w:val="BodyText"/>
        <w:ind w:left="0"/>
        <w:rPr>
          <w:rFonts w:asciiTheme="minorHAnsi" w:hAnsiTheme="minorHAnsi"/>
          <w:b/>
          <w:sz w:val="22"/>
          <w:szCs w:val="22"/>
          <w:u w:val="thick" w:color="000000"/>
        </w:rPr>
      </w:pPr>
      <w:r w:rsidRPr="009A6CC6">
        <w:rPr>
          <w:rFonts w:asciiTheme="minorHAnsi" w:hAnsiTheme="minorHAnsi"/>
          <w:b/>
          <w:spacing w:val="-2"/>
          <w:sz w:val="22"/>
          <w:szCs w:val="22"/>
          <w:u w:val="thick" w:color="000000"/>
        </w:rPr>
        <w:t>Eval</w:t>
      </w:r>
      <w:r w:rsidRPr="009A6CC6">
        <w:rPr>
          <w:rFonts w:asciiTheme="minorHAnsi" w:hAnsiTheme="minorHAnsi"/>
          <w:b/>
          <w:spacing w:val="-1"/>
          <w:sz w:val="22"/>
          <w:szCs w:val="22"/>
          <w:u w:val="thick" w:color="000000"/>
        </w:rPr>
        <w:t>uation</w:t>
      </w:r>
      <w:r w:rsidRPr="009A6CC6">
        <w:rPr>
          <w:rFonts w:asciiTheme="minorHAnsi" w:hAnsiTheme="minorHAnsi"/>
          <w:b/>
          <w:spacing w:val="-15"/>
          <w:sz w:val="22"/>
          <w:szCs w:val="22"/>
          <w:u w:val="thick" w:color="000000"/>
        </w:rPr>
        <w:t xml:space="preserve"> </w:t>
      </w:r>
      <w:r w:rsidRPr="009A6CC6">
        <w:rPr>
          <w:rFonts w:asciiTheme="minorHAnsi" w:hAnsiTheme="minorHAnsi"/>
          <w:b/>
          <w:sz w:val="22"/>
          <w:szCs w:val="22"/>
          <w:u w:val="thick" w:color="000000"/>
        </w:rPr>
        <w:t>of</w:t>
      </w:r>
      <w:r w:rsidRPr="009A6CC6">
        <w:rPr>
          <w:rFonts w:asciiTheme="minorHAnsi" w:hAnsiTheme="minorHAnsi"/>
          <w:b/>
          <w:spacing w:val="-11"/>
          <w:sz w:val="22"/>
          <w:szCs w:val="22"/>
          <w:u w:val="thick" w:color="000000"/>
        </w:rPr>
        <w:t xml:space="preserve"> </w:t>
      </w:r>
      <w:r w:rsidRPr="009A6CC6">
        <w:rPr>
          <w:rFonts w:asciiTheme="minorHAnsi" w:hAnsiTheme="minorHAnsi"/>
          <w:b/>
          <w:sz w:val="22"/>
          <w:szCs w:val="22"/>
          <w:u w:val="thick" w:color="000000"/>
        </w:rPr>
        <w:t>Care</w:t>
      </w:r>
      <w:r w:rsidRPr="009A6CC6">
        <w:rPr>
          <w:rFonts w:asciiTheme="minorHAnsi" w:hAnsiTheme="minorHAnsi"/>
          <w:b/>
          <w:spacing w:val="-4"/>
          <w:sz w:val="22"/>
          <w:szCs w:val="22"/>
          <w:u w:val="thick" w:color="000000"/>
        </w:rPr>
        <w:t xml:space="preserve"> </w:t>
      </w:r>
      <w:r w:rsidRPr="009A6CC6">
        <w:rPr>
          <w:rFonts w:asciiTheme="minorHAnsi" w:hAnsiTheme="minorHAnsi"/>
          <w:b/>
          <w:sz w:val="22"/>
          <w:szCs w:val="22"/>
          <w:u w:val="thick" w:color="000000"/>
        </w:rPr>
        <w:t>Results</w:t>
      </w:r>
    </w:p>
    <w:p w:rsidR="009052C3" w:rsidRPr="009A6CC6" w:rsidRDefault="009052C3" w:rsidP="009052C3">
      <w:pPr>
        <w:pStyle w:val="BodyText"/>
        <w:ind w:left="0"/>
        <w:rPr>
          <w:rFonts w:asciiTheme="minorHAnsi" w:hAnsiTheme="minorHAnsi"/>
          <w:b/>
          <w:sz w:val="22"/>
          <w:szCs w:val="22"/>
        </w:rPr>
      </w:pPr>
    </w:p>
    <w:p w:rsidR="009052C3" w:rsidRPr="009A6CC6" w:rsidRDefault="009052C3" w:rsidP="00432943">
      <w:pPr>
        <w:spacing w:after="0"/>
        <w:rPr>
          <w:rFonts w:eastAsia="Arial"/>
        </w:rPr>
      </w:pPr>
      <w:r w:rsidRPr="009A6CC6">
        <w:rPr>
          <w:rFonts w:eastAsia="Arial"/>
        </w:rPr>
        <w:t>The evaluation of care survey has seven domains: access to care, quality and appropriateness of treatment, treatment outcome, participation in treatment planning, satisfaction with services, improvement in functioning and soc</w:t>
      </w:r>
      <w:r w:rsidR="00F32EA1">
        <w:rPr>
          <w:rFonts w:eastAsia="Arial"/>
        </w:rPr>
        <w:t xml:space="preserve">ial connectedness with others. </w:t>
      </w:r>
      <w:r w:rsidRPr="009A6CC6">
        <w:rPr>
          <w:rFonts w:eastAsia="Arial"/>
        </w:rPr>
        <w:t xml:space="preserve">Prior reports have noted positive change across time on nearly every one of these domains.  The findings this </w:t>
      </w:r>
      <w:r w:rsidR="00432943">
        <w:rPr>
          <w:rFonts w:eastAsia="Arial"/>
        </w:rPr>
        <w:t>reporting period</w:t>
      </w:r>
      <w:r w:rsidRPr="009A6CC6">
        <w:rPr>
          <w:rFonts w:eastAsia="Arial"/>
        </w:rPr>
        <w:t xml:space="preserve"> are much the same.</w:t>
      </w:r>
      <w:r w:rsidR="00DB6BDD">
        <w:rPr>
          <w:rFonts w:eastAsia="Arial"/>
        </w:rPr>
        <w:t xml:space="preserve">   </w:t>
      </w:r>
      <w:r w:rsidR="006E6E3B">
        <w:rPr>
          <w:rFonts w:eastAsia="Arial"/>
        </w:rPr>
        <w:t>This cohort includes Class Membe</w:t>
      </w:r>
      <w:r w:rsidR="006E550D">
        <w:rPr>
          <w:rFonts w:eastAsia="Arial"/>
        </w:rPr>
        <w:t>r</w:t>
      </w:r>
      <w:r w:rsidR="006E6E3B">
        <w:rPr>
          <w:rFonts w:eastAsia="Arial"/>
        </w:rPr>
        <w:t>s who have transitioned since the inception of the Williams Consent Decree.  Results are presented for all individuals completing the initial QoL survey, regardless if they complete subsequent surveys at designated points in time.</w:t>
      </w:r>
    </w:p>
    <w:p w:rsidR="00F32EA1" w:rsidRDefault="00F32EA1" w:rsidP="00432943">
      <w:pPr>
        <w:spacing w:after="0"/>
        <w:rPr>
          <w:rFonts w:eastAsia="Arial"/>
        </w:rPr>
      </w:pPr>
    </w:p>
    <w:p w:rsidR="009052C3" w:rsidRPr="009A6CC6" w:rsidRDefault="009052C3" w:rsidP="00432943">
      <w:pPr>
        <w:spacing w:after="0"/>
        <w:rPr>
          <w:rFonts w:eastAsia="Arial"/>
          <w:highlight w:val="yellow"/>
        </w:rPr>
      </w:pPr>
      <w:r w:rsidRPr="00194E43">
        <w:rPr>
          <w:rFonts w:eastAsia="Arial"/>
        </w:rPr>
        <w:t xml:space="preserve">Table </w:t>
      </w:r>
      <w:r w:rsidR="00F8468E">
        <w:rPr>
          <w:rFonts w:eastAsia="Arial"/>
        </w:rPr>
        <w:t>P</w:t>
      </w:r>
      <w:r w:rsidRPr="009A6CC6">
        <w:rPr>
          <w:rFonts w:eastAsia="Arial"/>
        </w:rPr>
        <w:t xml:space="preserve"> displays the percentage of Class Members' positive responses for each evaluation domain across time: 30 days prior to transition from the IMD/SMHRF, at 6 months, 12 months and 18 months post transition to the community.  The results are presented for all individuals completing the evaluation surveys regardless </w:t>
      </w:r>
      <w:r w:rsidR="00432943">
        <w:rPr>
          <w:rFonts w:eastAsia="Arial"/>
        </w:rPr>
        <w:t>if</w:t>
      </w:r>
      <w:r w:rsidRPr="009A6CC6">
        <w:rPr>
          <w:rFonts w:eastAsia="Arial"/>
        </w:rPr>
        <w:t xml:space="preserve"> they complete surveys at each point in time.  Class Members</w:t>
      </w:r>
      <w:r w:rsidR="00432943">
        <w:rPr>
          <w:rFonts w:eastAsia="Arial"/>
        </w:rPr>
        <w:t>’</w:t>
      </w:r>
      <w:r w:rsidRPr="009A6CC6">
        <w:rPr>
          <w:rFonts w:eastAsia="Arial"/>
        </w:rPr>
        <w:t xml:space="preserve"> evaluation of their satisfaction with treatment evidenced the most change across time, followed by evaluation of access to care, quality of treatment and treatment plan participation.  Small positive changes were noted in the Class Members’ evaluation of their </w:t>
      </w:r>
      <w:r w:rsidR="006B2163" w:rsidRPr="009A6CC6">
        <w:rPr>
          <w:rFonts w:eastAsia="Arial"/>
        </w:rPr>
        <w:t>F</w:t>
      </w:r>
      <w:r w:rsidRPr="009A6CC6">
        <w:rPr>
          <w:rFonts w:eastAsia="Arial"/>
        </w:rPr>
        <w:t>unctioning</w:t>
      </w:r>
      <w:r w:rsidR="006B2163" w:rsidRPr="009A6CC6">
        <w:rPr>
          <w:rFonts w:eastAsia="Arial"/>
        </w:rPr>
        <w:t xml:space="preserve"> and</w:t>
      </w:r>
      <w:r w:rsidR="00432943">
        <w:rPr>
          <w:rFonts w:eastAsia="Arial"/>
        </w:rPr>
        <w:t xml:space="preserve"> T</w:t>
      </w:r>
      <w:r w:rsidRPr="009A6CC6">
        <w:rPr>
          <w:rFonts w:eastAsia="Arial"/>
        </w:rPr>
        <w:t xml:space="preserve">reatment outcome.   The Social Connectedness domain has remained consistent across time.  </w:t>
      </w:r>
    </w:p>
    <w:p w:rsidR="006E6E3B" w:rsidRDefault="006E6E3B" w:rsidP="006F32FA">
      <w:pPr>
        <w:pStyle w:val="BodyText"/>
        <w:spacing w:before="157"/>
        <w:ind w:left="0" w:right="993"/>
        <w:jc w:val="center"/>
        <w:rPr>
          <w:rFonts w:asciiTheme="minorHAnsi" w:hAnsiTheme="minorHAnsi"/>
          <w:b/>
          <w:w w:val="115"/>
          <w:sz w:val="22"/>
          <w:szCs w:val="22"/>
        </w:rPr>
      </w:pPr>
    </w:p>
    <w:p w:rsidR="009052C3" w:rsidRPr="009A6CC6" w:rsidRDefault="009052C3" w:rsidP="006F32FA">
      <w:pPr>
        <w:pStyle w:val="BodyText"/>
        <w:spacing w:before="157"/>
        <w:ind w:left="0" w:right="993"/>
        <w:jc w:val="center"/>
        <w:rPr>
          <w:rFonts w:asciiTheme="minorHAnsi" w:hAnsiTheme="minorHAnsi"/>
          <w:b/>
          <w:w w:val="120"/>
          <w:sz w:val="22"/>
          <w:szCs w:val="22"/>
        </w:rPr>
      </w:pPr>
      <w:proofErr w:type="gramStart"/>
      <w:r w:rsidRPr="00194E43">
        <w:rPr>
          <w:rFonts w:asciiTheme="minorHAnsi" w:hAnsiTheme="minorHAnsi"/>
          <w:b/>
          <w:w w:val="115"/>
          <w:sz w:val="22"/>
          <w:szCs w:val="22"/>
        </w:rPr>
        <w:t>Table</w:t>
      </w:r>
      <w:r w:rsidRPr="00194E43">
        <w:rPr>
          <w:rFonts w:asciiTheme="minorHAnsi" w:hAnsiTheme="minorHAnsi"/>
          <w:b/>
          <w:spacing w:val="-40"/>
          <w:w w:val="115"/>
          <w:sz w:val="22"/>
          <w:szCs w:val="22"/>
        </w:rPr>
        <w:t xml:space="preserve"> </w:t>
      </w:r>
      <w:r w:rsidR="00F8468E">
        <w:rPr>
          <w:rFonts w:asciiTheme="minorHAnsi" w:hAnsiTheme="minorHAnsi"/>
          <w:b/>
          <w:spacing w:val="-40"/>
          <w:w w:val="115"/>
          <w:sz w:val="22"/>
          <w:szCs w:val="22"/>
        </w:rPr>
        <w:t xml:space="preserve"> P</w:t>
      </w:r>
      <w:proofErr w:type="gramEnd"/>
    </w:p>
    <w:p w:rsidR="009052C3" w:rsidRPr="009A6CC6" w:rsidRDefault="009052C3" w:rsidP="009052C3">
      <w:pPr>
        <w:pStyle w:val="BodyText"/>
        <w:spacing w:before="35"/>
        <w:ind w:left="0" w:right="1049"/>
        <w:rPr>
          <w:rFonts w:asciiTheme="minorHAnsi" w:hAnsiTheme="minorHAnsi"/>
          <w:b/>
          <w:sz w:val="22"/>
          <w:szCs w:val="22"/>
        </w:rPr>
      </w:pPr>
      <w:r w:rsidRPr="009A6CC6">
        <w:rPr>
          <w:rFonts w:asciiTheme="minorHAnsi" w:hAnsiTheme="minorHAnsi"/>
          <w:b/>
          <w:sz w:val="22"/>
          <w:szCs w:val="22"/>
        </w:rPr>
        <w:t xml:space="preserve">          Percentage</w:t>
      </w:r>
      <w:r w:rsidRPr="009A6CC6">
        <w:rPr>
          <w:rFonts w:asciiTheme="minorHAnsi" w:hAnsiTheme="minorHAnsi"/>
          <w:b/>
          <w:spacing w:val="-10"/>
          <w:sz w:val="22"/>
          <w:szCs w:val="22"/>
        </w:rPr>
        <w:t xml:space="preserve"> </w:t>
      </w:r>
      <w:r w:rsidRPr="009A6CC6">
        <w:rPr>
          <w:rFonts w:asciiTheme="minorHAnsi" w:hAnsiTheme="minorHAnsi"/>
          <w:b/>
          <w:sz w:val="22"/>
          <w:szCs w:val="22"/>
        </w:rPr>
        <w:t>of</w:t>
      </w:r>
      <w:r w:rsidRPr="009A6CC6">
        <w:rPr>
          <w:rFonts w:asciiTheme="minorHAnsi" w:hAnsiTheme="minorHAnsi"/>
          <w:b/>
          <w:spacing w:val="-8"/>
          <w:sz w:val="22"/>
          <w:szCs w:val="22"/>
        </w:rPr>
        <w:t xml:space="preserve"> </w:t>
      </w:r>
      <w:r w:rsidRPr="009A6CC6">
        <w:rPr>
          <w:rFonts w:asciiTheme="minorHAnsi" w:hAnsiTheme="minorHAnsi"/>
          <w:b/>
          <w:spacing w:val="-2"/>
          <w:sz w:val="22"/>
          <w:szCs w:val="22"/>
        </w:rPr>
        <w:t>Posi</w:t>
      </w:r>
      <w:r w:rsidRPr="009A6CC6">
        <w:rPr>
          <w:rFonts w:asciiTheme="minorHAnsi" w:hAnsiTheme="minorHAnsi"/>
          <w:b/>
          <w:spacing w:val="-1"/>
          <w:sz w:val="22"/>
          <w:szCs w:val="22"/>
        </w:rPr>
        <w:t>tive</w:t>
      </w:r>
      <w:r w:rsidRPr="009A6CC6">
        <w:rPr>
          <w:rFonts w:asciiTheme="minorHAnsi" w:hAnsiTheme="minorHAnsi"/>
          <w:b/>
          <w:spacing w:val="-5"/>
          <w:sz w:val="22"/>
          <w:szCs w:val="22"/>
        </w:rPr>
        <w:t xml:space="preserve"> </w:t>
      </w:r>
      <w:r w:rsidRPr="009A6CC6">
        <w:rPr>
          <w:rFonts w:asciiTheme="minorHAnsi" w:hAnsiTheme="minorHAnsi"/>
          <w:b/>
          <w:sz w:val="22"/>
          <w:szCs w:val="22"/>
        </w:rPr>
        <w:t>Class</w:t>
      </w:r>
      <w:r w:rsidRPr="009A6CC6">
        <w:rPr>
          <w:rFonts w:asciiTheme="minorHAnsi" w:hAnsiTheme="minorHAnsi"/>
          <w:b/>
          <w:spacing w:val="-3"/>
          <w:sz w:val="22"/>
          <w:szCs w:val="22"/>
        </w:rPr>
        <w:t xml:space="preserve"> </w:t>
      </w:r>
      <w:r w:rsidRPr="009A6CC6">
        <w:rPr>
          <w:rFonts w:asciiTheme="minorHAnsi" w:hAnsiTheme="minorHAnsi"/>
          <w:b/>
          <w:sz w:val="22"/>
          <w:szCs w:val="22"/>
        </w:rPr>
        <w:t>Member</w:t>
      </w:r>
      <w:r w:rsidRPr="009A6CC6">
        <w:rPr>
          <w:rFonts w:asciiTheme="minorHAnsi" w:hAnsiTheme="minorHAnsi"/>
          <w:b/>
          <w:spacing w:val="-2"/>
          <w:sz w:val="22"/>
          <w:szCs w:val="22"/>
        </w:rPr>
        <w:t xml:space="preserve"> </w:t>
      </w:r>
      <w:r w:rsidRPr="009A6CC6">
        <w:rPr>
          <w:rFonts w:asciiTheme="minorHAnsi" w:hAnsiTheme="minorHAnsi"/>
          <w:b/>
          <w:sz w:val="22"/>
          <w:szCs w:val="22"/>
        </w:rPr>
        <w:t>Responses</w:t>
      </w:r>
      <w:r w:rsidRPr="009A6CC6">
        <w:rPr>
          <w:rFonts w:asciiTheme="minorHAnsi" w:hAnsiTheme="minorHAnsi"/>
          <w:b/>
          <w:spacing w:val="-1"/>
          <w:sz w:val="22"/>
          <w:szCs w:val="22"/>
        </w:rPr>
        <w:t xml:space="preserve"> </w:t>
      </w:r>
      <w:proofErr w:type="gramStart"/>
      <w:r w:rsidRPr="009A6CC6">
        <w:rPr>
          <w:rFonts w:asciiTheme="minorHAnsi" w:hAnsiTheme="minorHAnsi"/>
          <w:b/>
          <w:sz w:val="22"/>
          <w:szCs w:val="22"/>
        </w:rPr>
        <w:t>By</w:t>
      </w:r>
      <w:proofErr w:type="gramEnd"/>
      <w:r w:rsidRPr="009A6CC6">
        <w:rPr>
          <w:rFonts w:asciiTheme="minorHAnsi" w:hAnsiTheme="minorHAnsi"/>
          <w:b/>
          <w:spacing w:val="-8"/>
          <w:sz w:val="22"/>
          <w:szCs w:val="22"/>
        </w:rPr>
        <w:t xml:space="preserve"> </w:t>
      </w:r>
      <w:r w:rsidRPr="009A6CC6">
        <w:rPr>
          <w:rFonts w:asciiTheme="minorHAnsi" w:hAnsiTheme="minorHAnsi"/>
          <w:b/>
          <w:spacing w:val="-2"/>
          <w:sz w:val="22"/>
          <w:szCs w:val="22"/>
        </w:rPr>
        <w:t>Eval</w:t>
      </w:r>
      <w:r w:rsidRPr="009A6CC6">
        <w:rPr>
          <w:rFonts w:asciiTheme="minorHAnsi" w:hAnsiTheme="minorHAnsi"/>
          <w:b/>
          <w:spacing w:val="-1"/>
          <w:sz w:val="22"/>
          <w:szCs w:val="22"/>
        </w:rPr>
        <w:t>uation</w:t>
      </w:r>
      <w:r w:rsidRPr="009A6CC6">
        <w:rPr>
          <w:rFonts w:asciiTheme="minorHAnsi" w:hAnsiTheme="minorHAnsi"/>
          <w:b/>
          <w:spacing w:val="-7"/>
          <w:sz w:val="22"/>
          <w:szCs w:val="22"/>
        </w:rPr>
        <w:t xml:space="preserve"> </w:t>
      </w:r>
      <w:r w:rsidRPr="009A6CC6">
        <w:rPr>
          <w:rFonts w:asciiTheme="minorHAnsi" w:hAnsiTheme="minorHAnsi"/>
          <w:b/>
          <w:sz w:val="22"/>
          <w:szCs w:val="22"/>
        </w:rPr>
        <w:t>Domain</w:t>
      </w:r>
      <w:r w:rsidRPr="009A6CC6">
        <w:rPr>
          <w:rFonts w:asciiTheme="minorHAnsi" w:hAnsiTheme="minorHAnsi"/>
          <w:b/>
          <w:spacing w:val="-27"/>
          <w:sz w:val="22"/>
          <w:szCs w:val="22"/>
        </w:rPr>
        <w:t xml:space="preserve"> </w:t>
      </w:r>
      <w:r w:rsidRPr="009A6CC6">
        <w:rPr>
          <w:rFonts w:asciiTheme="minorHAnsi" w:hAnsiTheme="minorHAnsi"/>
          <w:b/>
          <w:sz w:val="22"/>
          <w:szCs w:val="22"/>
        </w:rPr>
        <w:t>Across</w:t>
      </w:r>
      <w:r w:rsidRPr="009A6CC6">
        <w:rPr>
          <w:rFonts w:asciiTheme="minorHAnsi" w:hAnsiTheme="minorHAnsi"/>
          <w:b/>
          <w:spacing w:val="-6"/>
          <w:sz w:val="22"/>
          <w:szCs w:val="22"/>
        </w:rPr>
        <w:t xml:space="preserve"> </w:t>
      </w:r>
      <w:r w:rsidRPr="009A6CC6">
        <w:rPr>
          <w:rFonts w:asciiTheme="minorHAnsi" w:hAnsiTheme="minorHAnsi"/>
          <w:b/>
          <w:spacing w:val="1"/>
          <w:sz w:val="22"/>
          <w:szCs w:val="22"/>
        </w:rPr>
        <w:t>Time</w:t>
      </w:r>
    </w:p>
    <w:tbl>
      <w:tblPr>
        <w:tblStyle w:val="TableGrid"/>
        <w:tblpPr w:leftFromText="180" w:rightFromText="180" w:vertAnchor="text" w:horzAnchor="margin" w:tblpY="277"/>
        <w:tblOverlap w:val="never"/>
        <w:tblW w:w="0" w:type="auto"/>
        <w:tblLook w:val="04A0" w:firstRow="1" w:lastRow="0" w:firstColumn="1" w:lastColumn="0" w:noHBand="0" w:noVBand="1"/>
      </w:tblPr>
      <w:tblGrid>
        <w:gridCol w:w="2790"/>
        <w:gridCol w:w="1800"/>
        <w:gridCol w:w="1440"/>
        <w:gridCol w:w="1522"/>
        <w:gridCol w:w="1358"/>
      </w:tblGrid>
      <w:tr w:rsidR="009052C3" w:rsidRPr="009A6CC6" w:rsidTr="006B2163">
        <w:trPr>
          <w:trHeight w:val="288"/>
          <w:tblHeader/>
        </w:trPr>
        <w:tc>
          <w:tcPr>
            <w:tcW w:w="2790" w:type="dxa"/>
            <w:shd w:val="clear" w:color="auto" w:fill="BFBFBF" w:themeFill="background1" w:themeFillShade="BF"/>
          </w:tcPr>
          <w:p w:rsidR="009052C3" w:rsidRPr="009A6CC6" w:rsidRDefault="009052C3" w:rsidP="009052C3"/>
        </w:tc>
        <w:tc>
          <w:tcPr>
            <w:tcW w:w="1800" w:type="dxa"/>
            <w:tcBorders>
              <w:bottom w:val="single" w:sz="4" w:space="0" w:color="auto"/>
            </w:tcBorders>
          </w:tcPr>
          <w:p w:rsidR="009052C3" w:rsidRPr="009A6CC6" w:rsidRDefault="009052C3" w:rsidP="009052C3">
            <w:pPr>
              <w:jc w:val="center"/>
              <w:rPr>
                <w:rFonts w:cs="Arial"/>
                <w:b/>
              </w:rPr>
            </w:pPr>
            <w:r w:rsidRPr="009A6CC6">
              <w:rPr>
                <w:rFonts w:cs="Arial"/>
                <w:b/>
              </w:rPr>
              <w:t>Pre-Transition</w:t>
            </w:r>
          </w:p>
        </w:tc>
        <w:tc>
          <w:tcPr>
            <w:tcW w:w="1440" w:type="dxa"/>
            <w:tcBorders>
              <w:bottom w:val="single" w:sz="4" w:space="0" w:color="auto"/>
            </w:tcBorders>
          </w:tcPr>
          <w:p w:rsidR="009052C3" w:rsidRPr="009A6CC6" w:rsidRDefault="009052C3" w:rsidP="009052C3">
            <w:pPr>
              <w:jc w:val="center"/>
              <w:rPr>
                <w:rFonts w:cs="Arial"/>
                <w:b/>
              </w:rPr>
            </w:pPr>
            <w:r w:rsidRPr="009A6CC6">
              <w:rPr>
                <w:rFonts w:cs="Arial"/>
                <w:b/>
              </w:rPr>
              <w:t>6 Months</w:t>
            </w:r>
          </w:p>
        </w:tc>
        <w:tc>
          <w:tcPr>
            <w:tcW w:w="1522" w:type="dxa"/>
            <w:tcBorders>
              <w:bottom w:val="single" w:sz="4" w:space="0" w:color="auto"/>
            </w:tcBorders>
          </w:tcPr>
          <w:p w:rsidR="009052C3" w:rsidRPr="009A6CC6" w:rsidRDefault="009052C3" w:rsidP="009052C3">
            <w:pPr>
              <w:jc w:val="center"/>
              <w:rPr>
                <w:rFonts w:cs="Arial"/>
                <w:b/>
              </w:rPr>
            </w:pPr>
            <w:r w:rsidRPr="009A6CC6">
              <w:rPr>
                <w:rFonts w:cs="Arial"/>
                <w:b/>
              </w:rPr>
              <w:t>12 Months</w:t>
            </w:r>
          </w:p>
        </w:tc>
        <w:tc>
          <w:tcPr>
            <w:tcW w:w="1358" w:type="dxa"/>
            <w:tcBorders>
              <w:bottom w:val="single" w:sz="4" w:space="0" w:color="auto"/>
            </w:tcBorders>
          </w:tcPr>
          <w:p w:rsidR="009052C3" w:rsidRPr="009A6CC6" w:rsidRDefault="009052C3" w:rsidP="009052C3">
            <w:pPr>
              <w:jc w:val="center"/>
              <w:rPr>
                <w:rFonts w:cs="Arial"/>
                <w:b/>
              </w:rPr>
            </w:pPr>
            <w:r w:rsidRPr="009A6CC6">
              <w:rPr>
                <w:rFonts w:cs="Arial"/>
                <w:b/>
              </w:rPr>
              <w:t>18 Months</w:t>
            </w:r>
          </w:p>
        </w:tc>
      </w:tr>
      <w:tr w:rsidR="009052C3" w:rsidRPr="009A6CC6" w:rsidTr="006B2163">
        <w:trPr>
          <w:trHeight w:val="288"/>
        </w:trPr>
        <w:tc>
          <w:tcPr>
            <w:tcW w:w="2790" w:type="dxa"/>
          </w:tcPr>
          <w:p w:rsidR="009052C3" w:rsidRPr="009A6CC6" w:rsidRDefault="009052C3" w:rsidP="009052C3">
            <w:pPr>
              <w:rPr>
                <w:rFonts w:cs="Arial"/>
                <w:b/>
              </w:rPr>
            </w:pPr>
            <w:r w:rsidRPr="009A6CC6">
              <w:rPr>
                <w:rFonts w:cs="Arial"/>
                <w:b/>
              </w:rPr>
              <w:t>Evaluation Domain</w:t>
            </w:r>
          </w:p>
        </w:tc>
        <w:tc>
          <w:tcPr>
            <w:tcW w:w="1800" w:type="dxa"/>
            <w:shd w:val="clear" w:color="auto" w:fill="BFBFBF" w:themeFill="background1" w:themeFillShade="BF"/>
          </w:tcPr>
          <w:p w:rsidR="009052C3" w:rsidRPr="009A6CC6" w:rsidRDefault="009052C3" w:rsidP="009052C3">
            <w:pPr>
              <w:jc w:val="center"/>
            </w:pPr>
          </w:p>
        </w:tc>
        <w:tc>
          <w:tcPr>
            <w:tcW w:w="1440" w:type="dxa"/>
            <w:shd w:val="clear" w:color="auto" w:fill="BFBFBF" w:themeFill="background1" w:themeFillShade="BF"/>
          </w:tcPr>
          <w:p w:rsidR="009052C3" w:rsidRPr="009A6CC6" w:rsidRDefault="009052C3" w:rsidP="009052C3">
            <w:pPr>
              <w:jc w:val="center"/>
            </w:pPr>
          </w:p>
        </w:tc>
        <w:tc>
          <w:tcPr>
            <w:tcW w:w="1522" w:type="dxa"/>
            <w:shd w:val="clear" w:color="auto" w:fill="BFBFBF" w:themeFill="background1" w:themeFillShade="BF"/>
          </w:tcPr>
          <w:p w:rsidR="009052C3" w:rsidRPr="009A6CC6" w:rsidRDefault="009052C3" w:rsidP="009052C3">
            <w:pPr>
              <w:jc w:val="center"/>
            </w:pPr>
          </w:p>
        </w:tc>
        <w:tc>
          <w:tcPr>
            <w:tcW w:w="1358" w:type="dxa"/>
            <w:shd w:val="clear" w:color="auto" w:fill="BFBFBF" w:themeFill="background1" w:themeFillShade="BF"/>
          </w:tcPr>
          <w:p w:rsidR="009052C3" w:rsidRPr="009A6CC6" w:rsidRDefault="009052C3" w:rsidP="009052C3">
            <w:pPr>
              <w:jc w:val="center"/>
            </w:pPr>
          </w:p>
        </w:tc>
      </w:tr>
      <w:tr w:rsidR="009052C3" w:rsidRPr="009A6CC6" w:rsidTr="006B2163">
        <w:trPr>
          <w:trHeight w:val="288"/>
        </w:trPr>
        <w:tc>
          <w:tcPr>
            <w:tcW w:w="2790" w:type="dxa"/>
          </w:tcPr>
          <w:p w:rsidR="009052C3" w:rsidRPr="009A6CC6" w:rsidRDefault="009052C3" w:rsidP="009052C3">
            <w:pPr>
              <w:rPr>
                <w:rFonts w:cs="Arial"/>
                <w:b/>
              </w:rPr>
            </w:pPr>
            <w:r w:rsidRPr="009A6CC6">
              <w:rPr>
                <w:rFonts w:cs="Arial"/>
                <w:b/>
              </w:rPr>
              <w:t>Access</w:t>
            </w:r>
          </w:p>
        </w:tc>
        <w:tc>
          <w:tcPr>
            <w:tcW w:w="1800" w:type="dxa"/>
          </w:tcPr>
          <w:p w:rsidR="009052C3" w:rsidRPr="009A6CC6" w:rsidRDefault="009052C3" w:rsidP="009052C3">
            <w:pPr>
              <w:jc w:val="center"/>
            </w:pPr>
            <w:r w:rsidRPr="009A6CC6">
              <w:t>75.4</w:t>
            </w:r>
          </w:p>
        </w:tc>
        <w:tc>
          <w:tcPr>
            <w:tcW w:w="1440" w:type="dxa"/>
          </w:tcPr>
          <w:p w:rsidR="009052C3" w:rsidRPr="009A6CC6" w:rsidRDefault="009052C3" w:rsidP="009052C3">
            <w:pPr>
              <w:jc w:val="center"/>
            </w:pPr>
            <w:r w:rsidRPr="009A6CC6">
              <w:t>90.7</w:t>
            </w:r>
          </w:p>
        </w:tc>
        <w:tc>
          <w:tcPr>
            <w:tcW w:w="1522" w:type="dxa"/>
          </w:tcPr>
          <w:p w:rsidR="009052C3" w:rsidRPr="009A6CC6" w:rsidRDefault="009052C3" w:rsidP="009052C3">
            <w:pPr>
              <w:jc w:val="center"/>
            </w:pPr>
            <w:r w:rsidRPr="009A6CC6">
              <w:t>90.4</w:t>
            </w:r>
          </w:p>
        </w:tc>
        <w:tc>
          <w:tcPr>
            <w:tcW w:w="1358" w:type="dxa"/>
          </w:tcPr>
          <w:p w:rsidR="009052C3" w:rsidRPr="009A6CC6" w:rsidRDefault="009052C3" w:rsidP="009052C3">
            <w:pPr>
              <w:jc w:val="center"/>
            </w:pPr>
            <w:r w:rsidRPr="009A6CC6">
              <w:t>90.5</w:t>
            </w:r>
          </w:p>
        </w:tc>
      </w:tr>
      <w:tr w:rsidR="00A02CE1" w:rsidRPr="009A6CC6" w:rsidTr="006B2163">
        <w:trPr>
          <w:trHeight w:val="288"/>
        </w:trPr>
        <w:tc>
          <w:tcPr>
            <w:tcW w:w="2790" w:type="dxa"/>
          </w:tcPr>
          <w:p w:rsidR="00A02CE1" w:rsidRPr="009A6CC6" w:rsidRDefault="00A02CE1" w:rsidP="00A02CE1">
            <w:pPr>
              <w:rPr>
                <w:rFonts w:cs="Arial"/>
                <w:b/>
              </w:rPr>
            </w:pPr>
            <w:r w:rsidRPr="009A6CC6">
              <w:rPr>
                <w:rFonts w:cs="Arial"/>
                <w:b/>
              </w:rPr>
              <w:t xml:space="preserve">Quality </w:t>
            </w:r>
          </w:p>
        </w:tc>
        <w:tc>
          <w:tcPr>
            <w:tcW w:w="1800" w:type="dxa"/>
          </w:tcPr>
          <w:p w:rsidR="00A02CE1" w:rsidRPr="009A6CC6" w:rsidRDefault="00A02CE1" w:rsidP="00A02CE1">
            <w:pPr>
              <w:jc w:val="center"/>
            </w:pPr>
            <w:r w:rsidRPr="009A6CC6">
              <w:t>78.2</w:t>
            </w:r>
          </w:p>
        </w:tc>
        <w:tc>
          <w:tcPr>
            <w:tcW w:w="1440" w:type="dxa"/>
          </w:tcPr>
          <w:p w:rsidR="00A02CE1" w:rsidRPr="009A6CC6" w:rsidRDefault="00A02CE1" w:rsidP="00A02CE1">
            <w:pPr>
              <w:jc w:val="center"/>
            </w:pPr>
            <w:r w:rsidRPr="009A6CC6">
              <w:t>91.8</w:t>
            </w:r>
          </w:p>
        </w:tc>
        <w:tc>
          <w:tcPr>
            <w:tcW w:w="1522" w:type="dxa"/>
          </w:tcPr>
          <w:p w:rsidR="00A02CE1" w:rsidRPr="009A6CC6" w:rsidRDefault="00A02CE1" w:rsidP="00A02CE1">
            <w:pPr>
              <w:jc w:val="center"/>
            </w:pPr>
            <w:r w:rsidRPr="009A6CC6">
              <w:t>92.3</w:t>
            </w:r>
          </w:p>
        </w:tc>
        <w:tc>
          <w:tcPr>
            <w:tcW w:w="1358" w:type="dxa"/>
          </w:tcPr>
          <w:p w:rsidR="00A02CE1" w:rsidRPr="009A6CC6" w:rsidRDefault="00A02CE1" w:rsidP="00A02CE1">
            <w:pPr>
              <w:jc w:val="center"/>
            </w:pPr>
            <w:r w:rsidRPr="009A6CC6">
              <w:t>91.4</w:t>
            </w:r>
          </w:p>
        </w:tc>
      </w:tr>
      <w:tr w:rsidR="00A02CE1" w:rsidRPr="009A6CC6" w:rsidTr="006B2163">
        <w:trPr>
          <w:trHeight w:val="288"/>
        </w:trPr>
        <w:tc>
          <w:tcPr>
            <w:tcW w:w="2790" w:type="dxa"/>
          </w:tcPr>
          <w:p w:rsidR="00A02CE1" w:rsidRPr="009A6CC6" w:rsidRDefault="00A02CE1" w:rsidP="00A02CE1">
            <w:pPr>
              <w:rPr>
                <w:rFonts w:cs="Arial"/>
                <w:b/>
              </w:rPr>
            </w:pPr>
            <w:r w:rsidRPr="009A6CC6">
              <w:rPr>
                <w:rFonts w:cs="Arial"/>
                <w:b/>
              </w:rPr>
              <w:t>Outcome</w:t>
            </w:r>
          </w:p>
        </w:tc>
        <w:tc>
          <w:tcPr>
            <w:tcW w:w="1800" w:type="dxa"/>
          </w:tcPr>
          <w:p w:rsidR="00A02CE1" w:rsidRPr="009A6CC6" w:rsidRDefault="00A02CE1" w:rsidP="00A02CE1">
            <w:pPr>
              <w:jc w:val="center"/>
            </w:pPr>
            <w:r w:rsidRPr="009A6CC6">
              <w:t>89.5</w:t>
            </w:r>
          </w:p>
        </w:tc>
        <w:tc>
          <w:tcPr>
            <w:tcW w:w="1440" w:type="dxa"/>
          </w:tcPr>
          <w:p w:rsidR="00A02CE1" w:rsidRPr="009A6CC6" w:rsidRDefault="00A02CE1" w:rsidP="00A02CE1">
            <w:pPr>
              <w:jc w:val="center"/>
            </w:pPr>
            <w:r w:rsidRPr="009A6CC6">
              <w:t>91.6</w:t>
            </w:r>
          </w:p>
        </w:tc>
        <w:tc>
          <w:tcPr>
            <w:tcW w:w="1522" w:type="dxa"/>
          </w:tcPr>
          <w:p w:rsidR="00A02CE1" w:rsidRPr="009A6CC6" w:rsidRDefault="00A02CE1" w:rsidP="00A02CE1">
            <w:pPr>
              <w:jc w:val="center"/>
            </w:pPr>
            <w:r w:rsidRPr="009A6CC6">
              <w:t>89.9</w:t>
            </w:r>
          </w:p>
        </w:tc>
        <w:tc>
          <w:tcPr>
            <w:tcW w:w="1358" w:type="dxa"/>
          </w:tcPr>
          <w:p w:rsidR="00A02CE1" w:rsidRPr="009A6CC6" w:rsidRDefault="00A02CE1" w:rsidP="00A02CE1">
            <w:pPr>
              <w:jc w:val="center"/>
            </w:pPr>
            <w:r w:rsidRPr="009A6CC6">
              <w:t>90.3</w:t>
            </w:r>
          </w:p>
        </w:tc>
      </w:tr>
      <w:tr w:rsidR="00A02CE1" w:rsidRPr="009A6CC6" w:rsidTr="006B2163">
        <w:trPr>
          <w:trHeight w:val="288"/>
        </w:trPr>
        <w:tc>
          <w:tcPr>
            <w:tcW w:w="2790" w:type="dxa"/>
          </w:tcPr>
          <w:p w:rsidR="00A02CE1" w:rsidRPr="009A6CC6" w:rsidRDefault="00A02CE1" w:rsidP="00A02CE1">
            <w:pPr>
              <w:rPr>
                <w:rFonts w:cs="Arial"/>
                <w:b/>
              </w:rPr>
            </w:pPr>
            <w:r w:rsidRPr="009A6CC6">
              <w:rPr>
                <w:rFonts w:cs="Arial"/>
                <w:b/>
              </w:rPr>
              <w:t>Satisfaction</w:t>
            </w:r>
          </w:p>
        </w:tc>
        <w:tc>
          <w:tcPr>
            <w:tcW w:w="1800" w:type="dxa"/>
          </w:tcPr>
          <w:p w:rsidR="00A02CE1" w:rsidRPr="009A6CC6" w:rsidRDefault="00A02CE1" w:rsidP="00A02CE1">
            <w:pPr>
              <w:jc w:val="center"/>
            </w:pPr>
            <w:r w:rsidRPr="009A6CC6">
              <w:t>66.4</w:t>
            </w:r>
          </w:p>
        </w:tc>
        <w:tc>
          <w:tcPr>
            <w:tcW w:w="1440" w:type="dxa"/>
          </w:tcPr>
          <w:p w:rsidR="00A02CE1" w:rsidRPr="009A6CC6" w:rsidRDefault="00A02CE1" w:rsidP="00A02CE1">
            <w:pPr>
              <w:jc w:val="center"/>
            </w:pPr>
            <w:r w:rsidRPr="009A6CC6">
              <w:t>89.6</w:t>
            </w:r>
          </w:p>
        </w:tc>
        <w:tc>
          <w:tcPr>
            <w:tcW w:w="1522" w:type="dxa"/>
          </w:tcPr>
          <w:p w:rsidR="00A02CE1" w:rsidRPr="009A6CC6" w:rsidRDefault="00A02CE1" w:rsidP="00A02CE1">
            <w:pPr>
              <w:jc w:val="center"/>
            </w:pPr>
            <w:r w:rsidRPr="009A6CC6">
              <w:t>90.1</w:t>
            </w:r>
          </w:p>
        </w:tc>
        <w:tc>
          <w:tcPr>
            <w:tcW w:w="1358" w:type="dxa"/>
          </w:tcPr>
          <w:p w:rsidR="00A02CE1" w:rsidRPr="009A6CC6" w:rsidRDefault="00A02CE1" w:rsidP="00A02CE1">
            <w:pPr>
              <w:jc w:val="center"/>
            </w:pPr>
            <w:r w:rsidRPr="009A6CC6">
              <w:t>89.8</w:t>
            </w:r>
          </w:p>
        </w:tc>
      </w:tr>
      <w:tr w:rsidR="00A02CE1" w:rsidRPr="009A6CC6" w:rsidTr="006B2163">
        <w:trPr>
          <w:trHeight w:val="288"/>
        </w:trPr>
        <w:tc>
          <w:tcPr>
            <w:tcW w:w="2790" w:type="dxa"/>
          </w:tcPr>
          <w:p w:rsidR="00A02CE1" w:rsidRPr="009A6CC6" w:rsidRDefault="00A02CE1" w:rsidP="00A02CE1">
            <w:pPr>
              <w:rPr>
                <w:rFonts w:cs="Arial"/>
                <w:b/>
              </w:rPr>
            </w:pPr>
            <w:r w:rsidRPr="009A6CC6">
              <w:rPr>
                <w:rFonts w:cs="Arial"/>
                <w:b/>
              </w:rPr>
              <w:t>Social Connectedness</w:t>
            </w:r>
          </w:p>
        </w:tc>
        <w:tc>
          <w:tcPr>
            <w:tcW w:w="1800" w:type="dxa"/>
          </w:tcPr>
          <w:p w:rsidR="00A02CE1" w:rsidRPr="009A6CC6" w:rsidRDefault="00A02CE1" w:rsidP="00A02CE1">
            <w:pPr>
              <w:jc w:val="center"/>
            </w:pPr>
            <w:r w:rsidRPr="009A6CC6">
              <w:t>89.4</w:t>
            </w:r>
          </w:p>
        </w:tc>
        <w:tc>
          <w:tcPr>
            <w:tcW w:w="1440" w:type="dxa"/>
          </w:tcPr>
          <w:p w:rsidR="00A02CE1" w:rsidRPr="009A6CC6" w:rsidRDefault="00A02CE1" w:rsidP="00A02CE1">
            <w:pPr>
              <w:jc w:val="center"/>
            </w:pPr>
            <w:r w:rsidRPr="009A6CC6">
              <w:t>90.5</w:t>
            </w:r>
          </w:p>
        </w:tc>
        <w:tc>
          <w:tcPr>
            <w:tcW w:w="1522" w:type="dxa"/>
          </w:tcPr>
          <w:p w:rsidR="00A02CE1" w:rsidRPr="009A6CC6" w:rsidRDefault="00A02CE1" w:rsidP="00A02CE1">
            <w:pPr>
              <w:jc w:val="center"/>
            </w:pPr>
            <w:r w:rsidRPr="009A6CC6">
              <w:t>90.4</w:t>
            </w:r>
          </w:p>
        </w:tc>
        <w:tc>
          <w:tcPr>
            <w:tcW w:w="1358" w:type="dxa"/>
          </w:tcPr>
          <w:p w:rsidR="00A02CE1" w:rsidRPr="009A6CC6" w:rsidRDefault="00A02CE1" w:rsidP="00A02CE1">
            <w:pPr>
              <w:jc w:val="center"/>
            </w:pPr>
            <w:r w:rsidRPr="009A6CC6">
              <w:t>88.4</w:t>
            </w:r>
          </w:p>
        </w:tc>
      </w:tr>
      <w:tr w:rsidR="00A02CE1" w:rsidRPr="009A6CC6" w:rsidTr="006B2163">
        <w:trPr>
          <w:trHeight w:val="288"/>
        </w:trPr>
        <w:tc>
          <w:tcPr>
            <w:tcW w:w="2790" w:type="dxa"/>
          </w:tcPr>
          <w:p w:rsidR="00A02CE1" w:rsidRPr="009A6CC6" w:rsidRDefault="00A02CE1" w:rsidP="00A02CE1">
            <w:pPr>
              <w:rPr>
                <w:rFonts w:cs="Arial"/>
                <w:b/>
              </w:rPr>
            </w:pPr>
            <w:r w:rsidRPr="009A6CC6">
              <w:rPr>
                <w:rFonts w:cs="Arial"/>
                <w:b/>
              </w:rPr>
              <w:t>Functioning</w:t>
            </w:r>
          </w:p>
        </w:tc>
        <w:tc>
          <w:tcPr>
            <w:tcW w:w="1800" w:type="dxa"/>
          </w:tcPr>
          <w:p w:rsidR="00A02CE1" w:rsidRPr="009A6CC6" w:rsidRDefault="00A02CE1" w:rsidP="00A02CE1">
            <w:pPr>
              <w:jc w:val="center"/>
            </w:pPr>
            <w:r w:rsidRPr="009A6CC6">
              <w:t>91.0</w:t>
            </w:r>
          </w:p>
        </w:tc>
        <w:tc>
          <w:tcPr>
            <w:tcW w:w="1440" w:type="dxa"/>
          </w:tcPr>
          <w:p w:rsidR="00A02CE1" w:rsidRPr="009A6CC6" w:rsidRDefault="00A02CE1" w:rsidP="00A02CE1">
            <w:pPr>
              <w:jc w:val="center"/>
            </w:pPr>
            <w:r w:rsidRPr="009A6CC6">
              <w:t>93.6</w:t>
            </w:r>
          </w:p>
        </w:tc>
        <w:tc>
          <w:tcPr>
            <w:tcW w:w="1522" w:type="dxa"/>
          </w:tcPr>
          <w:p w:rsidR="00A02CE1" w:rsidRPr="009A6CC6" w:rsidRDefault="00A02CE1" w:rsidP="00A02CE1">
            <w:pPr>
              <w:jc w:val="center"/>
            </w:pPr>
            <w:r w:rsidRPr="009A6CC6">
              <w:t>92.9</w:t>
            </w:r>
          </w:p>
        </w:tc>
        <w:tc>
          <w:tcPr>
            <w:tcW w:w="1358" w:type="dxa"/>
          </w:tcPr>
          <w:p w:rsidR="00A02CE1" w:rsidRPr="009A6CC6" w:rsidRDefault="00A02CE1" w:rsidP="00A02CE1">
            <w:pPr>
              <w:jc w:val="center"/>
            </w:pPr>
            <w:r w:rsidRPr="009A6CC6">
              <w:t>92.6</w:t>
            </w:r>
          </w:p>
        </w:tc>
      </w:tr>
      <w:tr w:rsidR="00A02CE1" w:rsidRPr="009A6CC6" w:rsidTr="006B2163">
        <w:trPr>
          <w:trHeight w:val="288"/>
        </w:trPr>
        <w:tc>
          <w:tcPr>
            <w:tcW w:w="2790" w:type="dxa"/>
          </w:tcPr>
          <w:p w:rsidR="00A02CE1" w:rsidRPr="009A6CC6" w:rsidRDefault="00A02CE1" w:rsidP="00A02CE1">
            <w:pPr>
              <w:rPr>
                <w:rFonts w:cs="Arial"/>
                <w:b/>
              </w:rPr>
            </w:pPr>
            <w:r w:rsidRPr="009A6CC6">
              <w:rPr>
                <w:rFonts w:cs="Arial"/>
                <w:b/>
              </w:rPr>
              <w:t>Treatment Plan participation</w:t>
            </w:r>
          </w:p>
        </w:tc>
        <w:tc>
          <w:tcPr>
            <w:tcW w:w="1800" w:type="dxa"/>
          </w:tcPr>
          <w:p w:rsidR="00A02CE1" w:rsidRPr="009A6CC6" w:rsidRDefault="00A02CE1" w:rsidP="00A02CE1">
            <w:pPr>
              <w:jc w:val="center"/>
            </w:pPr>
            <w:r w:rsidRPr="009A6CC6">
              <w:t>79.3</w:t>
            </w:r>
          </w:p>
        </w:tc>
        <w:tc>
          <w:tcPr>
            <w:tcW w:w="1440" w:type="dxa"/>
          </w:tcPr>
          <w:p w:rsidR="00A02CE1" w:rsidRPr="009A6CC6" w:rsidRDefault="00A02CE1" w:rsidP="00A02CE1">
            <w:pPr>
              <w:jc w:val="center"/>
            </w:pPr>
            <w:r w:rsidRPr="009A6CC6">
              <w:t>89.8</w:t>
            </w:r>
          </w:p>
        </w:tc>
        <w:tc>
          <w:tcPr>
            <w:tcW w:w="1522" w:type="dxa"/>
          </w:tcPr>
          <w:p w:rsidR="00A02CE1" w:rsidRPr="009A6CC6" w:rsidRDefault="00A02CE1" w:rsidP="00A02CE1">
            <w:pPr>
              <w:jc w:val="center"/>
            </w:pPr>
            <w:r w:rsidRPr="009A6CC6">
              <w:t>89.6</w:t>
            </w:r>
          </w:p>
        </w:tc>
        <w:tc>
          <w:tcPr>
            <w:tcW w:w="1358" w:type="dxa"/>
          </w:tcPr>
          <w:p w:rsidR="00A02CE1" w:rsidRPr="009A6CC6" w:rsidRDefault="00A02CE1" w:rsidP="00A02CE1">
            <w:pPr>
              <w:jc w:val="center"/>
            </w:pPr>
            <w:r w:rsidRPr="009A6CC6">
              <w:t>88.9</w:t>
            </w:r>
          </w:p>
        </w:tc>
      </w:tr>
    </w:tbl>
    <w:p w:rsidR="009052C3" w:rsidRPr="009A6CC6" w:rsidRDefault="009052C3" w:rsidP="009052C3">
      <w:pPr>
        <w:spacing w:before="11"/>
        <w:rPr>
          <w:rFonts w:eastAsia="Arial" w:cs="Arial"/>
        </w:rPr>
      </w:pPr>
    </w:p>
    <w:p w:rsidR="00432943" w:rsidRPr="009A6CC6" w:rsidRDefault="00432943" w:rsidP="009052C3">
      <w:pPr>
        <w:pStyle w:val="BodyText"/>
        <w:spacing w:before="74" w:line="322" w:lineRule="auto"/>
        <w:ind w:left="0" w:right="250"/>
        <w:rPr>
          <w:rFonts w:asciiTheme="minorHAnsi" w:hAnsiTheme="minorHAnsi"/>
          <w:sz w:val="22"/>
          <w:szCs w:val="22"/>
        </w:rPr>
      </w:pPr>
    </w:p>
    <w:p w:rsidR="00A02CE1" w:rsidRDefault="00A02CE1" w:rsidP="00F32EA1">
      <w:pPr>
        <w:spacing w:after="0" w:line="240" w:lineRule="auto"/>
        <w:rPr>
          <w:rFonts w:eastAsia="Arial"/>
        </w:rPr>
      </w:pPr>
    </w:p>
    <w:p w:rsidR="009052C3" w:rsidRPr="009A6CC6" w:rsidRDefault="009052C3" w:rsidP="00F32EA1">
      <w:pPr>
        <w:spacing w:after="0" w:line="240" w:lineRule="auto"/>
        <w:rPr>
          <w:rFonts w:eastAsia="Arial"/>
        </w:rPr>
      </w:pPr>
      <w:r w:rsidRPr="00432943">
        <w:rPr>
          <w:rFonts w:eastAsia="Arial"/>
        </w:rPr>
        <w:t xml:space="preserve">Table </w:t>
      </w:r>
      <w:proofErr w:type="gramStart"/>
      <w:r w:rsidR="00F8468E">
        <w:rPr>
          <w:rFonts w:eastAsia="Arial"/>
        </w:rPr>
        <w:t xml:space="preserve">Q </w:t>
      </w:r>
      <w:r w:rsidRPr="00432943">
        <w:rPr>
          <w:rFonts w:eastAsia="Arial"/>
        </w:rPr>
        <w:t xml:space="preserve"> displays</w:t>
      </w:r>
      <w:proofErr w:type="gramEnd"/>
      <w:r w:rsidRPr="009A6CC6">
        <w:rPr>
          <w:rFonts w:eastAsia="Arial"/>
        </w:rPr>
        <w:t xml:space="preserve"> the percentage of positive responses across time only for individuals completing the survey at the initial pre-transition point in time and at 6 months post-transition.</w:t>
      </w:r>
    </w:p>
    <w:p w:rsidR="009052C3" w:rsidRPr="009A6CC6" w:rsidRDefault="009052C3" w:rsidP="00D65D07">
      <w:pPr>
        <w:spacing w:line="360" w:lineRule="auto"/>
        <w:jc w:val="center"/>
        <w:rPr>
          <w:rFonts w:eastAsia="Arial"/>
        </w:rPr>
      </w:pPr>
      <w:r w:rsidRPr="00432943">
        <w:rPr>
          <w:b/>
          <w:w w:val="105"/>
        </w:rPr>
        <w:t>Table</w:t>
      </w:r>
      <w:r w:rsidRPr="00432943">
        <w:rPr>
          <w:b/>
          <w:spacing w:val="-1"/>
          <w:w w:val="105"/>
        </w:rPr>
        <w:t xml:space="preserve"> </w:t>
      </w:r>
      <w:r w:rsidR="00F8468E">
        <w:rPr>
          <w:b/>
          <w:spacing w:val="-1"/>
          <w:w w:val="105"/>
        </w:rPr>
        <w:t xml:space="preserve">Q </w:t>
      </w:r>
    </w:p>
    <w:p w:rsidR="009052C3" w:rsidRPr="009A6CC6" w:rsidRDefault="009052C3" w:rsidP="009052C3">
      <w:pPr>
        <w:spacing w:before="47" w:line="240" w:lineRule="atLeast"/>
        <w:ind w:left="952" w:right="928"/>
        <w:jc w:val="center"/>
        <w:rPr>
          <w:rFonts w:eastAsia="Arial" w:cs="Arial"/>
          <w:b/>
        </w:rPr>
      </w:pPr>
      <w:r w:rsidRPr="009A6CC6">
        <w:rPr>
          <w:b/>
          <w:w w:val="105"/>
        </w:rPr>
        <w:t>Percentage</w:t>
      </w:r>
      <w:r w:rsidRPr="009A6CC6">
        <w:rPr>
          <w:b/>
          <w:spacing w:val="-4"/>
          <w:w w:val="105"/>
        </w:rPr>
        <w:t xml:space="preserve"> </w:t>
      </w:r>
      <w:r w:rsidRPr="009A6CC6">
        <w:rPr>
          <w:b/>
          <w:w w:val="105"/>
        </w:rPr>
        <w:t>of</w:t>
      </w:r>
      <w:r w:rsidRPr="009A6CC6">
        <w:rPr>
          <w:b/>
          <w:spacing w:val="-6"/>
          <w:w w:val="105"/>
        </w:rPr>
        <w:t xml:space="preserve"> </w:t>
      </w:r>
      <w:r w:rsidRPr="009A6CC6">
        <w:rPr>
          <w:b/>
          <w:w w:val="105"/>
        </w:rPr>
        <w:t>Positive</w:t>
      </w:r>
      <w:r w:rsidRPr="009A6CC6">
        <w:rPr>
          <w:b/>
          <w:spacing w:val="-4"/>
          <w:w w:val="105"/>
        </w:rPr>
        <w:t xml:space="preserve"> </w:t>
      </w:r>
      <w:r w:rsidRPr="009A6CC6">
        <w:rPr>
          <w:b/>
          <w:w w:val="105"/>
        </w:rPr>
        <w:t>Class</w:t>
      </w:r>
      <w:r w:rsidRPr="009A6CC6">
        <w:rPr>
          <w:b/>
          <w:spacing w:val="-2"/>
          <w:w w:val="105"/>
        </w:rPr>
        <w:t xml:space="preserve"> </w:t>
      </w:r>
      <w:r w:rsidRPr="009A6CC6">
        <w:rPr>
          <w:b/>
          <w:w w:val="105"/>
        </w:rPr>
        <w:t>Member</w:t>
      </w:r>
      <w:r w:rsidRPr="009A6CC6">
        <w:rPr>
          <w:b/>
          <w:spacing w:val="-2"/>
          <w:w w:val="105"/>
        </w:rPr>
        <w:t xml:space="preserve"> </w:t>
      </w:r>
      <w:r w:rsidRPr="009A6CC6">
        <w:rPr>
          <w:b/>
          <w:w w:val="105"/>
        </w:rPr>
        <w:t>Responses</w:t>
      </w:r>
      <w:r w:rsidRPr="009A6CC6">
        <w:rPr>
          <w:b/>
          <w:spacing w:val="-4"/>
          <w:w w:val="105"/>
        </w:rPr>
        <w:t xml:space="preserve"> </w:t>
      </w:r>
      <w:proofErr w:type="gramStart"/>
      <w:r w:rsidRPr="009A6CC6">
        <w:rPr>
          <w:b/>
          <w:w w:val="105"/>
        </w:rPr>
        <w:t>By</w:t>
      </w:r>
      <w:proofErr w:type="gramEnd"/>
      <w:r w:rsidRPr="009A6CC6">
        <w:rPr>
          <w:b/>
          <w:spacing w:val="-13"/>
          <w:w w:val="105"/>
        </w:rPr>
        <w:t xml:space="preserve"> </w:t>
      </w:r>
      <w:r w:rsidRPr="009A6CC6">
        <w:rPr>
          <w:b/>
          <w:w w:val="105"/>
        </w:rPr>
        <w:t>Evaluation</w:t>
      </w:r>
      <w:r w:rsidRPr="009A6CC6">
        <w:rPr>
          <w:b/>
          <w:spacing w:val="-7"/>
          <w:w w:val="105"/>
        </w:rPr>
        <w:t xml:space="preserve"> </w:t>
      </w:r>
      <w:r w:rsidRPr="009A6CC6">
        <w:rPr>
          <w:b/>
          <w:w w:val="105"/>
        </w:rPr>
        <w:t>Domain</w:t>
      </w:r>
      <w:r w:rsidRPr="009A6CC6">
        <w:rPr>
          <w:b/>
          <w:spacing w:val="-18"/>
          <w:w w:val="105"/>
        </w:rPr>
        <w:t xml:space="preserve"> </w:t>
      </w:r>
      <w:r w:rsidRPr="009A6CC6">
        <w:rPr>
          <w:b/>
          <w:w w:val="105"/>
        </w:rPr>
        <w:t>Across</w:t>
      </w:r>
      <w:r w:rsidRPr="009A6CC6">
        <w:rPr>
          <w:b/>
          <w:spacing w:val="-13"/>
          <w:w w:val="105"/>
        </w:rPr>
        <w:t xml:space="preserve"> </w:t>
      </w:r>
      <w:r w:rsidRPr="009A6CC6">
        <w:rPr>
          <w:b/>
          <w:w w:val="105"/>
        </w:rPr>
        <w:t>Time</w:t>
      </w:r>
      <w:r w:rsidRPr="009A6CC6">
        <w:rPr>
          <w:b/>
          <w:spacing w:val="22"/>
          <w:w w:val="106"/>
        </w:rPr>
        <w:t xml:space="preserve"> </w:t>
      </w:r>
      <w:r w:rsidRPr="009A6CC6">
        <w:rPr>
          <w:b/>
          <w:w w:val="105"/>
        </w:rPr>
        <w:t>Ratings</w:t>
      </w:r>
      <w:r w:rsidRPr="009A6CC6">
        <w:rPr>
          <w:b/>
          <w:spacing w:val="10"/>
          <w:w w:val="105"/>
        </w:rPr>
        <w:t xml:space="preserve"> </w:t>
      </w:r>
      <w:r w:rsidRPr="009A6CC6">
        <w:rPr>
          <w:b/>
          <w:w w:val="105"/>
        </w:rPr>
        <w:t>Made</w:t>
      </w:r>
      <w:r w:rsidRPr="009A6CC6">
        <w:rPr>
          <w:b/>
          <w:spacing w:val="4"/>
          <w:w w:val="105"/>
        </w:rPr>
        <w:t xml:space="preserve"> </w:t>
      </w:r>
      <w:r w:rsidRPr="009A6CC6">
        <w:rPr>
          <w:b/>
          <w:w w:val="105"/>
        </w:rPr>
        <w:t>by</w:t>
      </w:r>
      <w:r w:rsidRPr="009A6CC6">
        <w:rPr>
          <w:b/>
          <w:spacing w:val="-15"/>
          <w:w w:val="105"/>
        </w:rPr>
        <w:t xml:space="preserve"> </w:t>
      </w:r>
      <w:r w:rsidRPr="009A6CC6">
        <w:rPr>
          <w:b/>
          <w:w w:val="105"/>
        </w:rPr>
        <w:t>the</w:t>
      </w:r>
      <w:r w:rsidRPr="009A6CC6">
        <w:rPr>
          <w:b/>
          <w:spacing w:val="6"/>
          <w:w w:val="105"/>
        </w:rPr>
        <w:t xml:space="preserve"> </w:t>
      </w:r>
      <w:r w:rsidRPr="009A6CC6">
        <w:rPr>
          <w:b/>
          <w:w w:val="105"/>
        </w:rPr>
        <w:t>Same</w:t>
      </w:r>
      <w:r w:rsidRPr="009A6CC6">
        <w:rPr>
          <w:b/>
          <w:spacing w:val="17"/>
          <w:w w:val="105"/>
        </w:rPr>
        <w:t xml:space="preserve"> </w:t>
      </w:r>
      <w:r w:rsidRPr="009A6CC6">
        <w:rPr>
          <w:b/>
          <w:w w:val="105"/>
        </w:rPr>
        <w:t>Cohort</w:t>
      </w:r>
      <w:r w:rsidRPr="009A6CC6">
        <w:rPr>
          <w:b/>
          <w:spacing w:val="14"/>
          <w:w w:val="105"/>
        </w:rPr>
        <w:t xml:space="preserve"> </w:t>
      </w:r>
      <w:r w:rsidRPr="009A6CC6">
        <w:rPr>
          <w:b/>
          <w:w w:val="105"/>
        </w:rPr>
        <w:t>Pre-IMD</w:t>
      </w:r>
      <w:r w:rsidRPr="009A6CC6">
        <w:rPr>
          <w:b/>
          <w:spacing w:val="-18"/>
          <w:w w:val="105"/>
        </w:rPr>
        <w:t xml:space="preserve"> </w:t>
      </w:r>
      <w:r w:rsidRPr="009A6CC6">
        <w:rPr>
          <w:b/>
          <w:w w:val="105"/>
        </w:rPr>
        <w:t>Transition</w:t>
      </w:r>
      <w:r w:rsidRPr="009A6CC6">
        <w:rPr>
          <w:b/>
          <w:spacing w:val="4"/>
          <w:w w:val="105"/>
        </w:rPr>
        <w:t xml:space="preserve"> </w:t>
      </w:r>
      <w:r w:rsidRPr="009A6CC6">
        <w:rPr>
          <w:b/>
          <w:w w:val="105"/>
        </w:rPr>
        <w:t>and</w:t>
      </w:r>
      <w:r w:rsidRPr="009A6CC6">
        <w:rPr>
          <w:b/>
          <w:spacing w:val="11"/>
          <w:w w:val="105"/>
        </w:rPr>
        <w:t xml:space="preserve"> </w:t>
      </w:r>
      <w:r w:rsidRPr="009A6CC6">
        <w:rPr>
          <w:b/>
          <w:w w:val="105"/>
        </w:rPr>
        <w:t>Post</w:t>
      </w:r>
      <w:r w:rsidRPr="009A6CC6">
        <w:rPr>
          <w:b/>
          <w:spacing w:val="2"/>
          <w:w w:val="105"/>
        </w:rPr>
        <w:t xml:space="preserve"> </w:t>
      </w:r>
      <w:r w:rsidRPr="009A6CC6">
        <w:rPr>
          <w:b/>
          <w:w w:val="105"/>
        </w:rPr>
        <w:t>IMO</w:t>
      </w:r>
    </w:p>
    <w:p w:rsidR="0021138B" w:rsidRDefault="009052C3" w:rsidP="009052C3">
      <w:pPr>
        <w:spacing w:before="1" w:line="240" w:lineRule="atLeast"/>
        <w:ind w:left="3243" w:right="3244"/>
        <w:jc w:val="center"/>
        <w:rPr>
          <w:b/>
          <w:w w:val="110"/>
        </w:rPr>
      </w:pPr>
      <w:r w:rsidRPr="009A6CC6">
        <w:rPr>
          <w:b/>
          <w:w w:val="110"/>
        </w:rPr>
        <w:t>Transition</w:t>
      </w:r>
      <w:r w:rsidRPr="009A6CC6">
        <w:rPr>
          <w:b/>
          <w:spacing w:val="-14"/>
          <w:w w:val="110"/>
        </w:rPr>
        <w:t xml:space="preserve"> </w:t>
      </w:r>
      <w:r w:rsidRPr="009A6CC6">
        <w:rPr>
          <w:b/>
          <w:w w:val="110"/>
        </w:rPr>
        <w:t>at</w:t>
      </w:r>
      <w:r w:rsidRPr="009A6CC6">
        <w:rPr>
          <w:b/>
          <w:spacing w:val="-15"/>
          <w:w w:val="110"/>
        </w:rPr>
        <w:t xml:space="preserve"> </w:t>
      </w:r>
      <w:r w:rsidRPr="009A6CC6">
        <w:rPr>
          <w:b/>
          <w:w w:val="110"/>
        </w:rPr>
        <w:t>6</w:t>
      </w:r>
      <w:r w:rsidRPr="009A6CC6">
        <w:rPr>
          <w:b/>
          <w:spacing w:val="-15"/>
          <w:w w:val="110"/>
        </w:rPr>
        <w:t xml:space="preserve"> </w:t>
      </w:r>
      <w:r w:rsidRPr="009A6CC6">
        <w:rPr>
          <w:b/>
          <w:w w:val="110"/>
        </w:rPr>
        <w:t>Months</w:t>
      </w:r>
      <w:r w:rsidRPr="009A6CC6">
        <w:rPr>
          <w:b/>
          <w:spacing w:val="-11"/>
          <w:w w:val="110"/>
        </w:rPr>
        <w:t xml:space="preserve"> </w:t>
      </w:r>
      <w:r w:rsidRPr="009A6CC6">
        <w:rPr>
          <w:b/>
          <w:w w:val="110"/>
        </w:rPr>
        <w:t>(n=426)</w:t>
      </w:r>
      <w:r w:rsidR="0021138B">
        <w:rPr>
          <w:b/>
          <w:w w:val="110"/>
        </w:rPr>
        <w:t xml:space="preserve"> </w:t>
      </w:r>
    </w:p>
    <w:p w:rsidR="009052C3" w:rsidRPr="009A6CC6" w:rsidRDefault="006E6E3B" w:rsidP="00DC7ED5">
      <w:pPr>
        <w:spacing w:before="4"/>
        <w:jc w:val="center"/>
        <w:rPr>
          <w:rFonts w:eastAsia="Arial" w:cs="Arial"/>
          <w:b/>
        </w:rPr>
      </w:pPr>
      <w:r>
        <w:rPr>
          <w:rFonts w:eastAsia="Arial" w:cs="Arial"/>
          <w:b/>
        </w:rPr>
        <w:t>This cohort includes Class Members who were surveyed before transition</w:t>
      </w:r>
      <w:r w:rsidR="00DC7ED5">
        <w:rPr>
          <w:rFonts w:eastAsia="Arial" w:cs="Arial"/>
          <w:b/>
        </w:rPr>
        <w:t>ing from the IMDs and after 6 months of leaving the IMDs.</w:t>
      </w:r>
    </w:p>
    <w:tbl>
      <w:tblPr>
        <w:tblStyle w:val="TableGrid"/>
        <w:tblpPr w:leftFromText="180" w:rightFromText="180" w:vertAnchor="text" w:horzAnchor="margin" w:tblpXSpec="center" w:tblpY="26"/>
        <w:tblOverlap w:val="never"/>
        <w:tblW w:w="0" w:type="auto"/>
        <w:tblLook w:val="04A0" w:firstRow="1" w:lastRow="0" w:firstColumn="1" w:lastColumn="0" w:noHBand="0" w:noVBand="1"/>
      </w:tblPr>
      <w:tblGrid>
        <w:gridCol w:w="2988"/>
        <w:gridCol w:w="1530"/>
        <w:gridCol w:w="1440"/>
      </w:tblGrid>
      <w:tr w:rsidR="009052C3" w:rsidRPr="009A6CC6" w:rsidTr="00D65D07">
        <w:trPr>
          <w:trHeight w:val="288"/>
        </w:trPr>
        <w:tc>
          <w:tcPr>
            <w:tcW w:w="2988" w:type="dxa"/>
            <w:shd w:val="clear" w:color="auto" w:fill="BFBFBF" w:themeFill="background1" w:themeFillShade="BF"/>
          </w:tcPr>
          <w:p w:rsidR="009052C3" w:rsidRPr="009A6CC6" w:rsidRDefault="009052C3" w:rsidP="009052C3">
            <w:pPr>
              <w:jc w:val="center"/>
            </w:pPr>
          </w:p>
        </w:tc>
        <w:tc>
          <w:tcPr>
            <w:tcW w:w="1530" w:type="dxa"/>
            <w:tcBorders>
              <w:bottom w:val="single" w:sz="4" w:space="0" w:color="auto"/>
            </w:tcBorders>
          </w:tcPr>
          <w:p w:rsidR="009052C3" w:rsidRPr="009A6CC6" w:rsidRDefault="009052C3" w:rsidP="009052C3">
            <w:pPr>
              <w:jc w:val="center"/>
              <w:rPr>
                <w:rFonts w:cs="Arial"/>
                <w:b/>
              </w:rPr>
            </w:pPr>
            <w:r w:rsidRPr="009A6CC6">
              <w:rPr>
                <w:rFonts w:cs="Arial"/>
                <w:b/>
              </w:rPr>
              <w:t>Pre-Transition</w:t>
            </w:r>
          </w:p>
        </w:tc>
        <w:tc>
          <w:tcPr>
            <w:tcW w:w="1440" w:type="dxa"/>
            <w:tcBorders>
              <w:bottom w:val="single" w:sz="4" w:space="0" w:color="auto"/>
            </w:tcBorders>
          </w:tcPr>
          <w:p w:rsidR="009052C3" w:rsidRPr="009A6CC6" w:rsidRDefault="009052C3" w:rsidP="009052C3">
            <w:pPr>
              <w:jc w:val="center"/>
              <w:rPr>
                <w:rFonts w:cs="Arial"/>
                <w:b/>
              </w:rPr>
            </w:pPr>
            <w:r w:rsidRPr="009A6CC6">
              <w:rPr>
                <w:rFonts w:cs="Arial"/>
                <w:b/>
              </w:rPr>
              <w:t>6 Months</w:t>
            </w:r>
          </w:p>
        </w:tc>
      </w:tr>
      <w:tr w:rsidR="009052C3" w:rsidRPr="009A6CC6" w:rsidTr="00D65D07">
        <w:trPr>
          <w:trHeight w:val="288"/>
        </w:trPr>
        <w:tc>
          <w:tcPr>
            <w:tcW w:w="2988" w:type="dxa"/>
          </w:tcPr>
          <w:p w:rsidR="009052C3" w:rsidRPr="009A6CC6" w:rsidRDefault="009052C3" w:rsidP="009052C3">
            <w:pPr>
              <w:rPr>
                <w:rFonts w:cs="Arial"/>
                <w:b/>
              </w:rPr>
            </w:pPr>
            <w:r w:rsidRPr="009A6CC6">
              <w:rPr>
                <w:rFonts w:cs="Arial"/>
                <w:b/>
              </w:rPr>
              <w:t>Evaluation Domain</w:t>
            </w:r>
          </w:p>
        </w:tc>
        <w:tc>
          <w:tcPr>
            <w:tcW w:w="1530" w:type="dxa"/>
            <w:shd w:val="clear" w:color="auto" w:fill="BFBFBF" w:themeFill="background1" w:themeFillShade="BF"/>
          </w:tcPr>
          <w:p w:rsidR="009052C3" w:rsidRPr="009A6CC6" w:rsidRDefault="009052C3" w:rsidP="009052C3">
            <w:pPr>
              <w:jc w:val="center"/>
            </w:pPr>
          </w:p>
        </w:tc>
        <w:tc>
          <w:tcPr>
            <w:tcW w:w="1440" w:type="dxa"/>
            <w:shd w:val="clear" w:color="auto" w:fill="BFBFBF" w:themeFill="background1" w:themeFillShade="BF"/>
          </w:tcPr>
          <w:p w:rsidR="009052C3" w:rsidRPr="009A6CC6" w:rsidRDefault="009052C3" w:rsidP="009052C3">
            <w:pPr>
              <w:jc w:val="center"/>
            </w:pPr>
          </w:p>
        </w:tc>
      </w:tr>
      <w:tr w:rsidR="009052C3" w:rsidRPr="009A6CC6" w:rsidTr="00D65D07">
        <w:trPr>
          <w:trHeight w:val="288"/>
        </w:trPr>
        <w:tc>
          <w:tcPr>
            <w:tcW w:w="2988" w:type="dxa"/>
          </w:tcPr>
          <w:p w:rsidR="009052C3" w:rsidRPr="009A6CC6" w:rsidRDefault="009052C3" w:rsidP="009052C3">
            <w:pPr>
              <w:rPr>
                <w:rFonts w:cs="Arial"/>
                <w:b/>
              </w:rPr>
            </w:pPr>
            <w:r w:rsidRPr="009A6CC6">
              <w:rPr>
                <w:rFonts w:cs="Arial"/>
                <w:b/>
              </w:rPr>
              <w:t>Access</w:t>
            </w:r>
          </w:p>
        </w:tc>
        <w:tc>
          <w:tcPr>
            <w:tcW w:w="1530" w:type="dxa"/>
          </w:tcPr>
          <w:p w:rsidR="009052C3" w:rsidRPr="009A6CC6" w:rsidRDefault="009052C3" w:rsidP="009052C3">
            <w:pPr>
              <w:jc w:val="center"/>
              <w:rPr>
                <w:rFonts w:cs="Arial"/>
              </w:rPr>
            </w:pPr>
            <w:r w:rsidRPr="009A6CC6">
              <w:rPr>
                <w:rFonts w:cs="Arial"/>
              </w:rPr>
              <w:t>79.8</w:t>
            </w:r>
          </w:p>
        </w:tc>
        <w:tc>
          <w:tcPr>
            <w:tcW w:w="1440" w:type="dxa"/>
          </w:tcPr>
          <w:p w:rsidR="009052C3" w:rsidRPr="009A6CC6" w:rsidRDefault="009052C3" w:rsidP="009052C3">
            <w:pPr>
              <w:jc w:val="center"/>
              <w:rPr>
                <w:rFonts w:cs="Arial"/>
              </w:rPr>
            </w:pPr>
            <w:r w:rsidRPr="009A6CC6">
              <w:rPr>
                <w:rFonts w:cs="Arial"/>
              </w:rPr>
              <w:t>92.7</w:t>
            </w:r>
          </w:p>
        </w:tc>
      </w:tr>
      <w:tr w:rsidR="009052C3" w:rsidRPr="009A6CC6" w:rsidTr="00D65D07">
        <w:trPr>
          <w:trHeight w:val="288"/>
        </w:trPr>
        <w:tc>
          <w:tcPr>
            <w:tcW w:w="2988" w:type="dxa"/>
          </w:tcPr>
          <w:p w:rsidR="009052C3" w:rsidRPr="009A6CC6" w:rsidRDefault="009052C3" w:rsidP="009052C3">
            <w:pPr>
              <w:rPr>
                <w:rFonts w:cs="Arial"/>
                <w:b/>
              </w:rPr>
            </w:pPr>
            <w:r w:rsidRPr="009A6CC6">
              <w:rPr>
                <w:rFonts w:cs="Arial"/>
                <w:b/>
              </w:rPr>
              <w:t xml:space="preserve">Quality </w:t>
            </w:r>
          </w:p>
        </w:tc>
        <w:tc>
          <w:tcPr>
            <w:tcW w:w="1530" w:type="dxa"/>
          </w:tcPr>
          <w:p w:rsidR="009052C3" w:rsidRPr="009A6CC6" w:rsidRDefault="009052C3" w:rsidP="009052C3">
            <w:pPr>
              <w:jc w:val="center"/>
              <w:rPr>
                <w:rFonts w:cs="Arial"/>
              </w:rPr>
            </w:pPr>
            <w:r w:rsidRPr="009A6CC6">
              <w:rPr>
                <w:rFonts w:cs="Arial"/>
              </w:rPr>
              <w:t>81.7</w:t>
            </w:r>
          </w:p>
        </w:tc>
        <w:tc>
          <w:tcPr>
            <w:tcW w:w="1440" w:type="dxa"/>
          </w:tcPr>
          <w:p w:rsidR="009052C3" w:rsidRPr="009A6CC6" w:rsidRDefault="009052C3" w:rsidP="009052C3">
            <w:pPr>
              <w:jc w:val="center"/>
              <w:rPr>
                <w:rFonts w:cs="Arial"/>
              </w:rPr>
            </w:pPr>
            <w:r w:rsidRPr="009A6CC6">
              <w:rPr>
                <w:rFonts w:cs="Arial"/>
              </w:rPr>
              <w:t>93.9</w:t>
            </w:r>
          </w:p>
        </w:tc>
      </w:tr>
      <w:tr w:rsidR="009052C3" w:rsidRPr="009A6CC6" w:rsidTr="00D65D07">
        <w:trPr>
          <w:trHeight w:val="288"/>
        </w:trPr>
        <w:tc>
          <w:tcPr>
            <w:tcW w:w="2988" w:type="dxa"/>
          </w:tcPr>
          <w:p w:rsidR="009052C3" w:rsidRPr="009A6CC6" w:rsidRDefault="009052C3" w:rsidP="009052C3">
            <w:pPr>
              <w:rPr>
                <w:rFonts w:cs="Arial"/>
                <w:b/>
              </w:rPr>
            </w:pPr>
            <w:r w:rsidRPr="009A6CC6">
              <w:rPr>
                <w:rFonts w:cs="Arial"/>
                <w:b/>
              </w:rPr>
              <w:t>Outcome</w:t>
            </w:r>
          </w:p>
        </w:tc>
        <w:tc>
          <w:tcPr>
            <w:tcW w:w="1530" w:type="dxa"/>
          </w:tcPr>
          <w:p w:rsidR="009052C3" w:rsidRPr="009A6CC6" w:rsidRDefault="009052C3" w:rsidP="009052C3">
            <w:pPr>
              <w:jc w:val="center"/>
              <w:rPr>
                <w:rFonts w:cs="Arial"/>
              </w:rPr>
            </w:pPr>
            <w:r w:rsidRPr="009A6CC6">
              <w:rPr>
                <w:rFonts w:cs="Arial"/>
              </w:rPr>
              <w:t>91.1</w:t>
            </w:r>
          </w:p>
        </w:tc>
        <w:tc>
          <w:tcPr>
            <w:tcW w:w="1440" w:type="dxa"/>
          </w:tcPr>
          <w:p w:rsidR="009052C3" w:rsidRPr="009A6CC6" w:rsidRDefault="009052C3" w:rsidP="009052C3">
            <w:pPr>
              <w:jc w:val="center"/>
              <w:rPr>
                <w:rFonts w:cs="Arial"/>
              </w:rPr>
            </w:pPr>
            <w:r w:rsidRPr="009A6CC6">
              <w:rPr>
                <w:rFonts w:cs="Arial"/>
              </w:rPr>
              <w:t>93.0</w:t>
            </w:r>
          </w:p>
        </w:tc>
      </w:tr>
      <w:tr w:rsidR="009052C3" w:rsidRPr="009A6CC6" w:rsidTr="00D65D07">
        <w:trPr>
          <w:trHeight w:val="288"/>
        </w:trPr>
        <w:tc>
          <w:tcPr>
            <w:tcW w:w="2988" w:type="dxa"/>
          </w:tcPr>
          <w:p w:rsidR="009052C3" w:rsidRPr="009A6CC6" w:rsidRDefault="009052C3" w:rsidP="009052C3">
            <w:pPr>
              <w:rPr>
                <w:rFonts w:cs="Arial"/>
                <w:b/>
              </w:rPr>
            </w:pPr>
            <w:r w:rsidRPr="009A6CC6">
              <w:rPr>
                <w:rFonts w:cs="Arial"/>
                <w:b/>
              </w:rPr>
              <w:t>Satisfaction</w:t>
            </w:r>
          </w:p>
        </w:tc>
        <w:tc>
          <w:tcPr>
            <w:tcW w:w="1530" w:type="dxa"/>
          </w:tcPr>
          <w:p w:rsidR="009052C3" w:rsidRPr="009A6CC6" w:rsidRDefault="009052C3" w:rsidP="009052C3">
            <w:pPr>
              <w:jc w:val="center"/>
              <w:rPr>
                <w:rFonts w:cs="Arial"/>
              </w:rPr>
            </w:pPr>
            <w:r w:rsidRPr="009A6CC6">
              <w:rPr>
                <w:rFonts w:cs="Arial"/>
              </w:rPr>
              <w:t>69.7</w:t>
            </w:r>
          </w:p>
        </w:tc>
        <w:tc>
          <w:tcPr>
            <w:tcW w:w="1440" w:type="dxa"/>
          </w:tcPr>
          <w:p w:rsidR="009052C3" w:rsidRPr="009A6CC6" w:rsidRDefault="009052C3" w:rsidP="009052C3">
            <w:pPr>
              <w:jc w:val="center"/>
              <w:rPr>
                <w:rFonts w:cs="Arial"/>
              </w:rPr>
            </w:pPr>
            <w:r w:rsidRPr="009A6CC6">
              <w:rPr>
                <w:rFonts w:cs="Arial"/>
              </w:rPr>
              <w:t>92.0</w:t>
            </w:r>
          </w:p>
        </w:tc>
      </w:tr>
      <w:tr w:rsidR="009052C3" w:rsidRPr="009A6CC6" w:rsidTr="00D65D07">
        <w:trPr>
          <w:trHeight w:val="288"/>
        </w:trPr>
        <w:tc>
          <w:tcPr>
            <w:tcW w:w="2988" w:type="dxa"/>
          </w:tcPr>
          <w:p w:rsidR="009052C3" w:rsidRPr="009A6CC6" w:rsidRDefault="009052C3" w:rsidP="009052C3">
            <w:pPr>
              <w:rPr>
                <w:rFonts w:cs="Arial"/>
                <w:b/>
              </w:rPr>
            </w:pPr>
            <w:r w:rsidRPr="009A6CC6">
              <w:rPr>
                <w:rFonts w:cs="Arial"/>
                <w:b/>
              </w:rPr>
              <w:t>Social Connectedness</w:t>
            </w:r>
          </w:p>
        </w:tc>
        <w:tc>
          <w:tcPr>
            <w:tcW w:w="1530" w:type="dxa"/>
          </w:tcPr>
          <w:p w:rsidR="009052C3" w:rsidRPr="009A6CC6" w:rsidRDefault="009052C3" w:rsidP="009052C3">
            <w:pPr>
              <w:jc w:val="center"/>
              <w:rPr>
                <w:rFonts w:cs="Arial"/>
              </w:rPr>
            </w:pPr>
            <w:r w:rsidRPr="009A6CC6">
              <w:rPr>
                <w:rFonts w:cs="Arial"/>
              </w:rPr>
              <w:t>92.0</w:t>
            </w:r>
          </w:p>
        </w:tc>
        <w:tc>
          <w:tcPr>
            <w:tcW w:w="1440" w:type="dxa"/>
          </w:tcPr>
          <w:p w:rsidR="009052C3" w:rsidRPr="009A6CC6" w:rsidRDefault="009052C3" w:rsidP="009052C3">
            <w:pPr>
              <w:jc w:val="center"/>
              <w:rPr>
                <w:rFonts w:cs="Arial"/>
              </w:rPr>
            </w:pPr>
            <w:r w:rsidRPr="009A6CC6">
              <w:rPr>
                <w:rFonts w:cs="Arial"/>
              </w:rPr>
              <w:t>92.3</w:t>
            </w:r>
          </w:p>
        </w:tc>
      </w:tr>
      <w:tr w:rsidR="009052C3" w:rsidRPr="009A6CC6" w:rsidTr="00D65D07">
        <w:trPr>
          <w:trHeight w:val="288"/>
        </w:trPr>
        <w:tc>
          <w:tcPr>
            <w:tcW w:w="2988" w:type="dxa"/>
          </w:tcPr>
          <w:p w:rsidR="009052C3" w:rsidRPr="009A6CC6" w:rsidRDefault="009052C3" w:rsidP="009052C3">
            <w:pPr>
              <w:rPr>
                <w:rFonts w:cs="Arial"/>
                <w:b/>
              </w:rPr>
            </w:pPr>
            <w:r w:rsidRPr="009A6CC6">
              <w:rPr>
                <w:rFonts w:cs="Arial"/>
                <w:b/>
              </w:rPr>
              <w:t>Functioning</w:t>
            </w:r>
          </w:p>
        </w:tc>
        <w:tc>
          <w:tcPr>
            <w:tcW w:w="1530" w:type="dxa"/>
          </w:tcPr>
          <w:p w:rsidR="009052C3" w:rsidRPr="009A6CC6" w:rsidRDefault="009052C3" w:rsidP="009052C3">
            <w:pPr>
              <w:jc w:val="center"/>
              <w:rPr>
                <w:rFonts w:cs="Arial"/>
              </w:rPr>
            </w:pPr>
            <w:r w:rsidRPr="009A6CC6">
              <w:rPr>
                <w:rFonts w:cs="Arial"/>
              </w:rPr>
              <w:t>92.0</w:t>
            </w:r>
          </w:p>
        </w:tc>
        <w:tc>
          <w:tcPr>
            <w:tcW w:w="1440" w:type="dxa"/>
          </w:tcPr>
          <w:p w:rsidR="009052C3" w:rsidRPr="009A6CC6" w:rsidRDefault="009052C3" w:rsidP="009052C3">
            <w:pPr>
              <w:jc w:val="center"/>
              <w:rPr>
                <w:rFonts w:cs="Arial"/>
              </w:rPr>
            </w:pPr>
            <w:r w:rsidRPr="009A6CC6">
              <w:rPr>
                <w:rFonts w:cs="Arial"/>
              </w:rPr>
              <w:t>95.3</w:t>
            </w:r>
          </w:p>
        </w:tc>
      </w:tr>
      <w:tr w:rsidR="009052C3" w:rsidRPr="009A6CC6" w:rsidTr="00D65D07">
        <w:trPr>
          <w:trHeight w:val="288"/>
        </w:trPr>
        <w:tc>
          <w:tcPr>
            <w:tcW w:w="2988" w:type="dxa"/>
          </w:tcPr>
          <w:p w:rsidR="009052C3" w:rsidRPr="009A6CC6" w:rsidRDefault="009052C3" w:rsidP="009052C3">
            <w:pPr>
              <w:rPr>
                <w:rFonts w:cs="Arial"/>
                <w:b/>
              </w:rPr>
            </w:pPr>
            <w:r w:rsidRPr="009A6CC6">
              <w:rPr>
                <w:rFonts w:cs="Arial"/>
                <w:b/>
              </w:rPr>
              <w:t>Treatment Plan participation</w:t>
            </w:r>
          </w:p>
        </w:tc>
        <w:tc>
          <w:tcPr>
            <w:tcW w:w="1530" w:type="dxa"/>
          </w:tcPr>
          <w:p w:rsidR="009052C3" w:rsidRPr="009A6CC6" w:rsidRDefault="009052C3" w:rsidP="009052C3">
            <w:pPr>
              <w:jc w:val="center"/>
              <w:rPr>
                <w:rFonts w:cs="Arial"/>
              </w:rPr>
            </w:pPr>
            <w:r w:rsidRPr="009A6CC6">
              <w:rPr>
                <w:rFonts w:cs="Arial"/>
              </w:rPr>
              <w:t>82.9</w:t>
            </w:r>
          </w:p>
        </w:tc>
        <w:tc>
          <w:tcPr>
            <w:tcW w:w="1440" w:type="dxa"/>
          </w:tcPr>
          <w:p w:rsidR="009052C3" w:rsidRPr="009A6CC6" w:rsidRDefault="009052C3" w:rsidP="009052C3">
            <w:pPr>
              <w:jc w:val="center"/>
              <w:rPr>
                <w:rFonts w:cs="Arial"/>
              </w:rPr>
            </w:pPr>
            <w:r w:rsidRPr="009A6CC6">
              <w:rPr>
                <w:rFonts w:cs="Arial"/>
              </w:rPr>
              <w:t>93.0</w:t>
            </w:r>
          </w:p>
        </w:tc>
      </w:tr>
    </w:tbl>
    <w:p w:rsidR="009052C3" w:rsidRPr="009A6CC6" w:rsidRDefault="009052C3" w:rsidP="009052C3">
      <w:pPr>
        <w:spacing w:before="4"/>
        <w:jc w:val="center"/>
        <w:rPr>
          <w:rFonts w:eastAsia="Arial" w:cs="Arial"/>
        </w:rPr>
      </w:pPr>
    </w:p>
    <w:p w:rsidR="009052C3" w:rsidRPr="009A6CC6" w:rsidRDefault="009052C3" w:rsidP="009052C3">
      <w:pPr>
        <w:spacing w:before="4"/>
        <w:rPr>
          <w:rFonts w:eastAsia="Arial" w:cs="Arial"/>
        </w:rPr>
      </w:pPr>
    </w:p>
    <w:p w:rsidR="009052C3" w:rsidRPr="009A6CC6" w:rsidRDefault="009052C3" w:rsidP="009052C3">
      <w:pPr>
        <w:spacing w:before="4"/>
        <w:rPr>
          <w:rFonts w:eastAsia="Arial" w:cs="Arial"/>
        </w:rPr>
      </w:pPr>
    </w:p>
    <w:p w:rsidR="009052C3" w:rsidRPr="009A6CC6" w:rsidRDefault="009052C3" w:rsidP="009052C3">
      <w:pPr>
        <w:spacing w:before="4"/>
        <w:rPr>
          <w:rFonts w:eastAsia="Arial" w:cs="Arial"/>
        </w:rPr>
      </w:pPr>
    </w:p>
    <w:p w:rsidR="00194E43" w:rsidRDefault="00194E43" w:rsidP="009052C3">
      <w:pPr>
        <w:spacing w:line="360" w:lineRule="auto"/>
        <w:rPr>
          <w:w w:val="105"/>
        </w:rPr>
      </w:pPr>
    </w:p>
    <w:p w:rsidR="00194E43" w:rsidRDefault="00194E43" w:rsidP="009052C3">
      <w:pPr>
        <w:spacing w:line="360" w:lineRule="auto"/>
        <w:rPr>
          <w:w w:val="105"/>
        </w:rPr>
      </w:pPr>
    </w:p>
    <w:p w:rsidR="009052C3" w:rsidRPr="009A6CC6" w:rsidRDefault="009052C3" w:rsidP="002C61B0">
      <w:pPr>
        <w:spacing w:after="0"/>
        <w:rPr>
          <w:w w:val="105"/>
        </w:rPr>
      </w:pPr>
      <w:r w:rsidRPr="009A6CC6">
        <w:rPr>
          <w:w w:val="105"/>
        </w:rPr>
        <w:t xml:space="preserve">This "matched" survey cohort exhibits a very similar pattern as that noted above. The most positive change was noted on the following evaluation domains: satisfaction, access to care, quality of care, participation in treatment followed by small positive change in the level of functioning, outcome and social connectedness. </w:t>
      </w:r>
      <w:r w:rsidRPr="009A6CC6">
        <w:rPr>
          <w:rFonts w:eastAsia="Arial"/>
        </w:rPr>
        <w:t xml:space="preserve">  </w:t>
      </w:r>
    </w:p>
    <w:p w:rsidR="00F8468E" w:rsidRDefault="00F8468E" w:rsidP="002C61B0">
      <w:pPr>
        <w:spacing w:after="0"/>
        <w:rPr>
          <w:w w:val="110"/>
        </w:rPr>
      </w:pPr>
    </w:p>
    <w:p w:rsidR="009052C3" w:rsidRPr="009052C3" w:rsidRDefault="009052C3" w:rsidP="002C61B0">
      <w:pPr>
        <w:spacing w:after="0"/>
        <w:rPr>
          <w:w w:val="110"/>
        </w:rPr>
      </w:pPr>
      <w:r w:rsidRPr="00194E43">
        <w:rPr>
          <w:w w:val="110"/>
        </w:rPr>
        <w:t xml:space="preserve">Table </w:t>
      </w:r>
      <w:proofErr w:type="gramStart"/>
      <w:r w:rsidR="00F8468E">
        <w:rPr>
          <w:w w:val="110"/>
        </w:rPr>
        <w:t xml:space="preserve">R </w:t>
      </w:r>
      <w:r w:rsidRPr="009052C3">
        <w:rPr>
          <w:w w:val="110"/>
        </w:rPr>
        <w:t xml:space="preserve"> displays</w:t>
      </w:r>
      <w:proofErr w:type="gramEnd"/>
      <w:r w:rsidRPr="009052C3">
        <w:rPr>
          <w:w w:val="110"/>
        </w:rPr>
        <w:t xml:space="preserve"> the percentage of positive responses across time only for individuals completing the survey at the initial pre-transition point in time and at 12 months post-transition.</w:t>
      </w:r>
    </w:p>
    <w:p w:rsidR="00592CFD" w:rsidRDefault="00D65D07" w:rsidP="00D65D07">
      <w:pPr>
        <w:ind w:right="3244"/>
        <w:jc w:val="center"/>
        <w:rPr>
          <w:b/>
          <w:w w:val="105"/>
        </w:rPr>
      </w:pPr>
      <w:r w:rsidRPr="00194E43">
        <w:rPr>
          <w:b/>
          <w:w w:val="105"/>
        </w:rPr>
        <w:t xml:space="preserve">                </w:t>
      </w:r>
      <w:r w:rsidR="00194E43">
        <w:rPr>
          <w:b/>
          <w:w w:val="105"/>
        </w:rPr>
        <w:t xml:space="preserve">                                       </w:t>
      </w:r>
    </w:p>
    <w:p w:rsidR="00592CFD" w:rsidRDefault="00592CFD" w:rsidP="00D65D07">
      <w:pPr>
        <w:ind w:right="3244"/>
        <w:jc w:val="center"/>
        <w:rPr>
          <w:b/>
          <w:w w:val="105"/>
        </w:rPr>
      </w:pPr>
    </w:p>
    <w:p w:rsidR="009052C3" w:rsidRPr="009052C3" w:rsidRDefault="00D65D07" w:rsidP="00592CFD">
      <w:pPr>
        <w:ind w:left="2880" w:right="3244" w:firstLine="720"/>
        <w:jc w:val="center"/>
        <w:rPr>
          <w:rFonts w:eastAsia="Arial" w:cs="Arial"/>
          <w:b/>
        </w:rPr>
      </w:pPr>
      <w:r w:rsidRPr="00194E43">
        <w:rPr>
          <w:b/>
          <w:w w:val="105"/>
        </w:rPr>
        <w:t xml:space="preserve"> </w:t>
      </w:r>
      <w:r w:rsidR="009052C3" w:rsidRPr="00194E43">
        <w:rPr>
          <w:b/>
          <w:w w:val="105"/>
        </w:rPr>
        <w:t>Table</w:t>
      </w:r>
      <w:r w:rsidR="009052C3" w:rsidRPr="00194E43">
        <w:rPr>
          <w:b/>
          <w:spacing w:val="-4"/>
          <w:w w:val="105"/>
        </w:rPr>
        <w:t xml:space="preserve"> </w:t>
      </w:r>
      <w:r w:rsidR="00F8468E">
        <w:rPr>
          <w:b/>
          <w:spacing w:val="-4"/>
          <w:w w:val="105"/>
        </w:rPr>
        <w:t xml:space="preserve">R </w:t>
      </w:r>
    </w:p>
    <w:p w:rsidR="009052C3" w:rsidRPr="009052C3" w:rsidRDefault="009052C3" w:rsidP="009052C3">
      <w:pPr>
        <w:spacing w:before="47" w:line="240" w:lineRule="atLeast"/>
        <w:ind w:left="1008" w:right="907"/>
        <w:jc w:val="center"/>
        <w:rPr>
          <w:b/>
          <w:spacing w:val="-9"/>
          <w:w w:val="105"/>
        </w:rPr>
      </w:pPr>
      <w:r w:rsidRPr="009052C3">
        <w:rPr>
          <w:b/>
          <w:w w:val="105"/>
        </w:rPr>
        <w:t>Percentage</w:t>
      </w:r>
      <w:r w:rsidRPr="009052C3">
        <w:rPr>
          <w:b/>
          <w:spacing w:val="-1"/>
          <w:w w:val="105"/>
        </w:rPr>
        <w:t xml:space="preserve"> </w:t>
      </w:r>
      <w:r w:rsidRPr="009052C3">
        <w:rPr>
          <w:b/>
          <w:w w:val="105"/>
        </w:rPr>
        <w:t>of</w:t>
      </w:r>
      <w:r w:rsidRPr="009052C3">
        <w:rPr>
          <w:b/>
          <w:spacing w:val="-2"/>
          <w:w w:val="105"/>
        </w:rPr>
        <w:t xml:space="preserve"> </w:t>
      </w:r>
      <w:r w:rsidRPr="009052C3">
        <w:rPr>
          <w:b/>
          <w:w w:val="105"/>
        </w:rPr>
        <w:t>Positive Class Member</w:t>
      </w:r>
      <w:r w:rsidRPr="009052C3">
        <w:rPr>
          <w:b/>
          <w:spacing w:val="-2"/>
          <w:w w:val="105"/>
        </w:rPr>
        <w:t xml:space="preserve"> </w:t>
      </w:r>
      <w:r w:rsidRPr="009052C3">
        <w:rPr>
          <w:b/>
          <w:w w:val="105"/>
        </w:rPr>
        <w:t>Responses</w:t>
      </w:r>
      <w:r w:rsidRPr="009052C3">
        <w:rPr>
          <w:b/>
          <w:spacing w:val="7"/>
          <w:w w:val="105"/>
        </w:rPr>
        <w:t xml:space="preserve"> </w:t>
      </w:r>
      <w:proofErr w:type="gramStart"/>
      <w:r w:rsidRPr="009052C3">
        <w:rPr>
          <w:b/>
          <w:w w:val="105"/>
        </w:rPr>
        <w:t>By</w:t>
      </w:r>
      <w:proofErr w:type="gramEnd"/>
      <w:r w:rsidRPr="009052C3">
        <w:rPr>
          <w:b/>
          <w:spacing w:val="-9"/>
          <w:w w:val="105"/>
        </w:rPr>
        <w:t xml:space="preserve"> </w:t>
      </w:r>
      <w:r w:rsidRPr="009052C3">
        <w:rPr>
          <w:b/>
          <w:spacing w:val="-2"/>
          <w:w w:val="105"/>
        </w:rPr>
        <w:t>Eval</w:t>
      </w:r>
      <w:r w:rsidRPr="009052C3">
        <w:rPr>
          <w:b/>
          <w:spacing w:val="-1"/>
          <w:w w:val="105"/>
        </w:rPr>
        <w:t>uation</w:t>
      </w:r>
      <w:r w:rsidRPr="009052C3">
        <w:rPr>
          <w:b/>
          <w:spacing w:val="-8"/>
          <w:w w:val="105"/>
        </w:rPr>
        <w:t xml:space="preserve"> </w:t>
      </w:r>
      <w:r w:rsidRPr="009052C3">
        <w:rPr>
          <w:b/>
          <w:w w:val="105"/>
        </w:rPr>
        <w:t>Domain</w:t>
      </w:r>
      <w:r w:rsidRPr="009052C3">
        <w:rPr>
          <w:b/>
          <w:spacing w:val="-24"/>
          <w:w w:val="105"/>
        </w:rPr>
        <w:t xml:space="preserve"> </w:t>
      </w:r>
      <w:r w:rsidRPr="009052C3">
        <w:rPr>
          <w:b/>
          <w:w w:val="105"/>
        </w:rPr>
        <w:t>Across</w:t>
      </w:r>
      <w:r w:rsidRPr="009052C3">
        <w:rPr>
          <w:b/>
          <w:spacing w:val="1"/>
          <w:w w:val="105"/>
        </w:rPr>
        <w:t xml:space="preserve"> Ti</w:t>
      </w:r>
      <w:r w:rsidRPr="009052C3">
        <w:rPr>
          <w:b/>
          <w:w w:val="105"/>
        </w:rPr>
        <w:t>me</w:t>
      </w:r>
      <w:r w:rsidRPr="009052C3">
        <w:rPr>
          <w:b/>
          <w:spacing w:val="24"/>
          <w:w w:val="110"/>
        </w:rPr>
        <w:t xml:space="preserve"> </w:t>
      </w:r>
      <w:r w:rsidRPr="009052C3">
        <w:rPr>
          <w:b/>
          <w:w w:val="105"/>
        </w:rPr>
        <w:t>Ratings</w:t>
      </w:r>
      <w:r w:rsidRPr="009052C3">
        <w:rPr>
          <w:b/>
          <w:spacing w:val="14"/>
          <w:w w:val="105"/>
        </w:rPr>
        <w:t xml:space="preserve"> </w:t>
      </w:r>
      <w:r w:rsidRPr="009052C3">
        <w:rPr>
          <w:b/>
          <w:w w:val="105"/>
        </w:rPr>
        <w:t>Made</w:t>
      </w:r>
      <w:r w:rsidRPr="009052C3">
        <w:rPr>
          <w:b/>
          <w:spacing w:val="18"/>
          <w:w w:val="105"/>
        </w:rPr>
        <w:t xml:space="preserve"> </w:t>
      </w:r>
      <w:r w:rsidRPr="009052C3">
        <w:rPr>
          <w:b/>
          <w:w w:val="105"/>
        </w:rPr>
        <w:t>by</w:t>
      </w:r>
      <w:r w:rsidRPr="009052C3">
        <w:rPr>
          <w:b/>
          <w:spacing w:val="-3"/>
          <w:w w:val="105"/>
        </w:rPr>
        <w:t xml:space="preserve"> </w:t>
      </w:r>
      <w:r w:rsidRPr="009052C3">
        <w:rPr>
          <w:b/>
          <w:w w:val="105"/>
        </w:rPr>
        <w:t>the</w:t>
      </w:r>
      <w:r w:rsidRPr="009052C3">
        <w:rPr>
          <w:b/>
          <w:spacing w:val="11"/>
          <w:w w:val="105"/>
        </w:rPr>
        <w:t xml:space="preserve"> </w:t>
      </w:r>
      <w:r w:rsidRPr="009052C3">
        <w:rPr>
          <w:b/>
          <w:w w:val="105"/>
        </w:rPr>
        <w:t>Same</w:t>
      </w:r>
      <w:r w:rsidRPr="009052C3">
        <w:rPr>
          <w:b/>
          <w:spacing w:val="10"/>
          <w:w w:val="105"/>
        </w:rPr>
        <w:t xml:space="preserve"> </w:t>
      </w:r>
      <w:r w:rsidRPr="009052C3">
        <w:rPr>
          <w:b/>
          <w:w w:val="105"/>
        </w:rPr>
        <w:t>Cohort</w:t>
      </w:r>
      <w:r w:rsidRPr="009052C3">
        <w:rPr>
          <w:b/>
          <w:spacing w:val="14"/>
          <w:w w:val="105"/>
        </w:rPr>
        <w:t xml:space="preserve"> </w:t>
      </w:r>
      <w:r w:rsidRPr="009052C3">
        <w:rPr>
          <w:b/>
          <w:w w:val="105"/>
        </w:rPr>
        <w:t>Pre-IMD</w:t>
      </w:r>
      <w:r w:rsidRPr="009052C3">
        <w:rPr>
          <w:b/>
          <w:spacing w:val="-16"/>
          <w:w w:val="105"/>
        </w:rPr>
        <w:t xml:space="preserve"> </w:t>
      </w:r>
      <w:r w:rsidRPr="009052C3">
        <w:rPr>
          <w:b/>
          <w:spacing w:val="-1"/>
          <w:w w:val="105"/>
        </w:rPr>
        <w:t>Transition</w:t>
      </w:r>
      <w:r w:rsidRPr="009052C3">
        <w:rPr>
          <w:b/>
          <w:spacing w:val="8"/>
          <w:w w:val="105"/>
        </w:rPr>
        <w:t xml:space="preserve"> </w:t>
      </w:r>
      <w:r w:rsidRPr="009052C3">
        <w:rPr>
          <w:b/>
          <w:w w:val="105"/>
        </w:rPr>
        <w:t>and</w:t>
      </w:r>
      <w:r w:rsidRPr="009052C3">
        <w:rPr>
          <w:b/>
          <w:spacing w:val="15"/>
          <w:w w:val="105"/>
        </w:rPr>
        <w:t xml:space="preserve"> </w:t>
      </w:r>
      <w:r w:rsidRPr="009052C3">
        <w:rPr>
          <w:b/>
          <w:w w:val="105"/>
        </w:rPr>
        <w:t>Post</w:t>
      </w:r>
      <w:r w:rsidRPr="009052C3">
        <w:rPr>
          <w:b/>
          <w:spacing w:val="15"/>
          <w:w w:val="105"/>
        </w:rPr>
        <w:t xml:space="preserve"> </w:t>
      </w:r>
      <w:r w:rsidRPr="009052C3">
        <w:rPr>
          <w:b/>
          <w:spacing w:val="-7"/>
          <w:w w:val="105"/>
        </w:rPr>
        <w:t>I</w:t>
      </w:r>
      <w:r w:rsidRPr="009052C3">
        <w:rPr>
          <w:b/>
          <w:spacing w:val="-9"/>
          <w:w w:val="105"/>
        </w:rPr>
        <w:t>MD</w:t>
      </w:r>
    </w:p>
    <w:p w:rsidR="009052C3" w:rsidRPr="009052C3" w:rsidRDefault="009052C3" w:rsidP="009052C3">
      <w:pPr>
        <w:spacing w:before="47" w:line="240" w:lineRule="atLeast"/>
        <w:ind w:left="1008" w:right="907"/>
        <w:jc w:val="center"/>
        <w:rPr>
          <w:rFonts w:eastAsia="Arial" w:cs="Arial"/>
          <w:b/>
        </w:rPr>
      </w:pPr>
      <w:r w:rsidRPr="009052C3">
        <w:rPr>
          <w:b/>
          <w:spacing w:val="-9"/>
          <w:w w:val="105"/>
        </w:rPr>
        <w:t>Transition at 12 Months</w:t>
      </w:r>
      <w:r w:rsidRPr="009052C3">
        <w:rPr>
          <w:b/>
          <w:spacing w:val="-24"/>
          <w:w w:val="115"/>
        </w:rPr>
        <w:t xml:space="preserve"> </w:t>
      </w:r>
      <w:r w:rsidRPr="009052C3">
        <w:rPr>
          <w:b/>
          <w:w w:val="115"/>
        </w:rPr>
        <w:t>(n=317)</w:t>
      </w:r>
    </w:p>
    <w:p w:rsidR="009052C3" w:rsidRPr="009052C3" w:rsidRDefault="009052C3" w:rsidP="009052C3">
      <w:pPr>
        <w:rPr>
          <w:rFonts w:eastAsia="Arial" w:cs="Arial"/>
        </w:rPr>
      </w:pPr>
    </w:p>
    <w:tbl>
      <w:tblPr>
        <w:tblStyle w:val="TableGrid"/>
        <w:tblpPr w:leftFromText="180" w:rightFromText="180" w:vertAnchor="text" w:horzAnchor="margin" w:tblpXSpec="center" w:tblpY="112"/>
        <w:tblOverlap w:val="never"/>
        <w:tblW w:w="0" w:type="auto"/>
        <w:tblLook w:val="04A0" w:firstRow="1" w:lastRow="0" w:firstColumn="1" w:lastColumn="0" w:noHBand="0" w:noVBand="1"/>
      </w:tblPr>
      <w:tblGrid>
        <w:gridCol w:w="2988"/>
        <w:gridCol w:w="1530"/>
        <w:gridCol w:w="1440"/>
      </w:tblGrid>
      <w:tr w:rsidR="009052C3" w:rsidRPr="009052C3" w:rsidTr="009052C3">
        <w:trPr>
          <w:trHeight w:val="288"/>
        </w:trPr>
        <w:tc>
          <w:tcPr>
            <w:tcW w:w="2988" w:type="dxa"/>
            <w:shd w:val="clear" w:color="auto" w:fill="BFBFBF" w:themeFill="background1" w:themeFillShade="BF"/>
          </w:tcPr>
          <w:p w:rsidR="009052C3" w:rsidRPr="009052C3" w:rsidRDefault="009052C3" w:rsidP="009052C3">
            <w:pPr>
              <w:rPr>
                <w:rFonts w:cs="Arial"/>
              </w:rPr>
            </w:pPr>
          </w:p>
        </w:tc>
        <w:tc>
          <w:tcPr>
            <w:tcW w:w="1530" w:type="dxa"/>
            <w:tcBorders>
              <w:bottom w:val="single" w:sz="4" w:space="0" w:color="auto"/>
            </w:tcBorders>
          </w:tcPr>
          <w:p w:rsidR="009052C3" w:rsidRPr="009052C3" w:rsidRDefault="009052C3" w:rsidP="009052C3">
            <w:pPr>
              <w:jc w:val="center"/>
              <w:rPr>
                <w:rFonts w:cs="Arial"/>
                <w:b/>
              </w:rPr>
            </w:pPr>
            <w:r w:rsidRPr="009052C3">
              <w:rPr>
                <w:rFonts w:cs="Arial"/>
                <w:b/>
              </w:rPr>
              <w:t>Pre-Transition</w:t>
            </w:r>
          </w:p>
        </w:tc>
        <w:tc>
          <w:tcPr>
            <w:tcW w:w="1440" w:type="dxa"/>
            <w:tcBorders>
              <w:bottom w:val="single" w:sz="4" w:space="0" w:color="auto"/>
            </w:tcBorders>
          </w:tcPr>
          <w:p w:rsidR="009052C3" w:rsidRPr="009052C3" w:rsidRDefault="009052C3" w:rsidP="009052C3">
            <w:pPr>
              <w:jc w:val="center"/>
              <w:rPr>
                <w:rFonts w:cs="Arial"/>
                <w:b/>
              </w:rPr>
            </w:pPr>
            <w:r w:rsidRPr="009052C3">
              <w:rPr>
                <w:rFonts w:cs="Arial"/>
                <w:b/>
              </w:rPr>
              <w:t>12 Months</w:t>
            </w:r>
          </w:p>
        </w:tc>
      </w:tr>
      <w:tr w:rsidR="009052C3" w:rsidRPr="009052C3" w:rsidTr="009052C3">
        <w:trPr>
          <w:trHeight w:val="288"/>
        </w:trPr>
        <w:tc>
          <w:tcPr>
            <w:tcW w:w="2988" w:type="dxa"/>
          </w:tcPr>
          <w:p w:rsidR="009052C3" w:rsidRPr="009052C3" w:rsidRDefault="009052C3" w:rsidP="009052C3">
            <w:pPr>
              <w:rPr>
                <w:rFonts w:cs="Arial"/>
                <w:b/>
              </w:rPr>
            </w:pPr>
            <w:r w:rsidRPr="009052C3">
              <w:rPr>
                <w:rFonts w:cs="Arial"/>
                <w:b/>
              </w:rPr>
              <w:t>Evaluation Domain</w:t>
            </w:r>
          </w:p>
        </w:tc>
        <w:tc>
          <w:tcPr>
            <w:tcW w:w="1530" w:type="dxa"/>
            <w:shd w:val="clear" w:color="auto" w:fill="BFBFBF" w:themeFill="background1" w:themeFillShade="BF"/>
          </w:tcPr>
          <w:p w:rsidR="009052C3" w:rsidRPr="009052C3" w:rsidRDefault="009052C3" w:rsidP="009052C3">
            <w:pPr>
              <w:jc w:val="center"/>
              <w:rPr>
                <w:rFonts w:cs="Arial"/>
              </w:rPr>
            </w:pPr>
          </w:p>
        </w:tc>
        <w:tc>
          <w:tcPr>
            <w:tcW w:w="1440" w:type="dxa"/>
            <w:shd w:val="clear" w:color="auto" w:fill="BFBFBF" w:themeFill="background1" w:themeFillShade="BF"/>
          </w:tcPr>
          <w:p w:rsidR="009052C3" w:rsidRPr="009052C3" w:rsidRDefault="009052C3" w:rsidP="009052C3">
            <w:pPr>
              <w:jc w:val="center"/>
              <w:rPr>
                <w:rFonts w:cs="Arial"/>
              </w:rPr>
            </w:pPr>
          </w:p>
        </w:tc>
      </w:tr>
      <w:tr w:rsidR="009052C3" w:rsidRPr="009052C3" w:rsidTr="009052C3">
        <w:trPr>
          <w:trHeight w:val="288"/>
        </w:trPr>
        <w:tc>
          <w:tcPr>
            <w:tcW w:w="2988" w:type="dxa"/>
          </w:tcPr>
          <w:p w:rsidR="009052C3" w:rsidRPr="009052C3" w:rsidRDefault="009052C3" w:rsidP="009052C3">
            <w:pPr>
              <w:rPr>
                <w:rFonts w:cs="Arial"/>
                <w:b/>
              </w:rPr>
            </w:pPr>
            <w:r w:rsidRPr="009052C3">
              <w:rPr>
                <w:rFonts w:cs="Arial"/>
                <w:b/>
              </w:rPr>
              <w:t>Access</w:t>
            </w:r>
          </w:p>
        </w:tc>
        <w:tc>
          <w:tcPr>
            <w:tcW w:w="1530" w:type="dxa"/>
          </w:tcPr>
          <w:p w:rsidR="009052C3" w:rsidRPr="009052C3" w:rsidRDefault="009052C3" w:rsidP="009052C3">
            <w:pPr>
              <w:jc w:val="center"/>
              <w:rPr>
                <w:rFonts w:cs="Arial"/>
              </w:rPr>
            </w:pPr>
            <w:r w:rsidRPr="009052C3">
              <w:rPr>
                <w:rFonts w:cs="Arial"/>
              </w:rPr>
              <w:t>77.6</w:t>
            </w:r>
          </w:p>
        </w:tc>
        <w:tc>
          <w:tcPr>
            <w:tcW w:w="1440" w:type="dxa"/>
          </w:tcPr>
          <w:p w:rsidR="009052C3" w:rsidRPr="009052C3" w:rsidRDefault="009052C3" w:rsidP="009052C3">
            <w:pPr>
              <w:jc w:val="center"/>
              <w:rPr>
                <w:rFonts w:cs="Arial"/>
              </w:rPr>
            </w:pPr>
            <w:r w:rsidRPr="009052C3">
              <w:rPr>
                <w:rFonts w:cs="Arial"/>
              </w:rPr>
              <w:t>93.1</w:t>
            </w:r>
          </w:p>
        </w:tc>
      </w:tr>
      <w:tr w:rsidR="009052C3" w:rsidRPr="009052C3" w:rsidTr="009052C3">
        <w:trPr>
          <w:trHeight w:val="288"/>
        </w:trPr>
        <w:tc>
          <w:tcPr>
            <w:tcW w:w="2988" w:type="dxa"/>
          </w:tcPr>
          <w:p w:rsidR="009052C3" w:rsidRPr="009052C3" w:rsidRDefault="009052C3" w:rsidP="009052C3">
            <w:pPr>
              <w:rPr>
                <w:rFonts w:cs="Arial"/>
                <w:b/>
              </w:rPr>
            </w:pPr>
            <w:r w:rsidRPr="009052C3">
              <w:rPr>
                <w:rFonts w:cs="Arial"/>
                <w:b/>
              </w:rPr>
              <w:t xml:space="preserve">Quality </w:t>
            </w:r>
          </w:p>
        </w:tc>
        <w:tc>
          <w:tcPr>
            <w:tcW w:w="1530" w:type="dxa"/>
          </w:tcPr>
          <w:p w:rsidR="009052C3" w:rsidRPr="009052C3" w:rsidRDefault="009052C3" w:rsidP="009052C3">
            <w:pPr>
              <w:jc w:val="center"/>
              <w:rPr>
                <w:rFonts w:cs="Arial"/>
              </w:rPr>
            </w:pPr>
            <w:r w:rsidRPr="009052C3">
              <w:rPr>
                <w:rFonts w:cs="Arial"/>
              </w:rPr>
              <w:t>81.4</w:t>
            </w:r>
          </w:p>
        </w:tc>
        <w:tc>
          <w:tcPr>
            <w:tcW w:w="1440" w:type="dxa"/>
          </w:tcPr>
          <w:p w:rsidR="009052C3" w:rsidRPr="009052C3" w:rsidRDefault="009052C3" w:rsidP="009052C3">
            <w:pPr>
              <w:jc w:val="center"/>
              <w:rPr>
                <w:rFonts w:cs="Arial"/>
              </w:rPr>
            </w:pPr>
            <w:r w:rsidRPr="009052C3">
              <w:rPr>
                <w:rFonts w:cs="Arial"/>
              </w:rPr>
              <w:t>95.3</w:t>
            </w:r>
          </w:p>
        </w:tc>
      </w:tr>
      <w:tr w:rsidR="009052C3" w:rsidRPr="009052C3" w:rsidTr="009052C3">
        <w:trPr>
          <w:trHeight w:val="288"/>
        </w:trPr>
        <w:tc>
          <w:tcPr>
            <w:tcW w:w="2988" w:type="dxa"/>
          </w:tcPr>
          <w:p w:rsidR="009052C3" w:rsidRPr="009052C3" w:rsidRDefault="009052C3" w:rsidP="009052C3">
            <w:pPr>
              <w:rPr>
                <w:rFonts w:cs="Arial"/>
                <w:b/>
              </w:rPr>
            </w:pPr>
            <w:r w:rsidRPr="009052C3">
              <w:rPr>
                <w:rFonts w:cs="Arial"/>
                <w:b/>
              </w:rPr>
              <w:t>Outcome</w:t>
            </w:r>
          </w:p>
        </w:tc>
        <w:tc>
          <w:tcPr>
            <w:tcW w:w="1530" w:type="dxa"/>
          </w:tcPr>
          <w:p w:rsidR="009052C3" w:rsidRPr="009052C3" w:rsidRDefault="009052C3" w:rsidP="009052C3">
            <w:pPr>
              <w:jc w:val="center"/>
              <w:rPr>
                <w:rFonts w:cs="Arial"/>
              </w:rPr>
            </w:pPr>
            <w:r w:rsidRPr="009052C3">
              <w:rPr>
                <w:rFonts w:cs="Arial"/>
              </w:rPr>
              <w:t>91.8</w:t>
            </w:r>
          </w:p>
        </w:tc>
        <w:tc>
          <w:tcPr>
            <w:tcW w:w="1440" w:type="dxa"/>
          </w:tcPr>
          <w:p w:rsidR="009052C3" w:rsidRPr="009052C3" w:rsidRDefault="009052C3" w:rsidP="009052C3">
            <w:pPr>
              <w:jc w:val="center"/>
              <w:rPr>
                <w:rFonts w:cs="Arial"/>
              </w:rPr>
            </w:pPr>
            <w:r w:rsidRPr="009052C3">
              <w:rPr>
                <w:rFonts w:cs="Arial"/>
              </w:rPr>
              <w:t>93.1</w:t>
            </w:r>
          </w:p>
        </w:tc>
      </w:tr>
      <w:tr w:rsidR="009052C3" w:rsidRPr="009052C3" w:rsidTr="009052C3">
        <w:trPr>
          <w:trHeight w:val="288"/>
        </w:trPr>
        <w:tc>
          <w:tcPr>
            <w:tcW w:w="2988" w:type="dxa"/>
          </w:tcPr>
          <w:p w:rsidR="009052C3" w:rsidRPr="009052C3" w:rsidRDefault="009052C3" w:rsidP="009052C3">
            <w:pPr>
              <w:rPr>
                <w:rFonts w:cs="Arial"/>
                <w:b/>
              </w:rPr>
            </w:pPr>
            <w:r w:rsidRPr="009052C3">
              <w:rPr>
                <w:rFonts w:cs="Arial"/>
                <w:b/>
              </w:rPr>
              <w:t>Satisfaction</w:t>
            </w:r>
          </w:p>
        </w:tc>
        <w:tc>
          <w:tcPr>
            <w:tcW w:w="1530" w:type="dxa"/>
          </w:tcPr>
          <w:p w:rsidR="009052C3" w:rsidRPr="009052C3" w:rsidRDefault="009052C3" w:rsidP="009052C3">
            <w:pPr>
              <w:jc w:val="center"/>
              <w:rPr>
                <w:rFonts w:cs="Arial"/>
              </w:rPr>
            </w:pPr>
            <w:r w:rsidRPr="009052C3">
              <w:rPr>
                <w:rFonts w:cs="Arial"/>
              </w:rPr>
              <w:t>65.6</w:t>
            </w:r>
          </w:p>
        </w:tc>
        <w:tc>
          <w:tcPr>
            <w:tcW w:w="1440" w:type="dxa"/>
          </w:tcPr>
          <w:p w:rsidR="009052C3" w:rsidRPr="009052C3" w:rsidRDefault="009052C3" w:rsidP="009052C3">
            <w:pPr>
              <w:jc w:val="center"/>
              <w:rPr>
                <w:rFonts w:cs="Arial"/>
              </w:rPr>
            </w:pPr>
            <w:r w:rsidRPr="009052C3">
              <w:rPr>
                <w:rFonts w:cs="Arial"/>
              </w:rPr>
              <w:t>93.1</w:t>
            </w:r>
          </w:p>
        </w:tc>
      </w:tr>
      <w:tr w:rsidR="009052C3" w:rsidRPr="009052C3" w:rsidTr="009052C3">
        <w:trPr>
          <w:trHeight w:val="288"/>
        </w:trPr>
        <w:tc>
          <w:tcPr>
            <w:tcW w:w="2988" w:type="dxa"/>
          </w:tcPr>
          <w:p w:rsidR="009052C3" w:rsidRPr="009052C3" w:rsidRDefault="009052C3" w:rsidP="009052C3">
            <w:pPr>
              <w:rPr>
                <w:rFonts w:cs="Arial"/>
                <w:b/>
              </w:rPr>
            </w:pPr>
            <w:r w:rsidRPr="009052C3">
              <w:rPr>
                <w:rFonts w:cs="Arial"/>
                <w:b/>
              </w:rPr>
              <w:t>Social Connectedness</w:t>
            </w:r>
          </w:p>
        </w:tc>
        <w:tc>
          <w:tcPr>
            <w:tcW w:w="1530" w:type="dxa"/>
          </w:tcPr>
          <w:p w:rsidR="009052C3" w:rsidRPr="009052C3" w:rsidRDefault="009052C3" w:rsidP="009052C3">
            <w:pPr>
              <w:jc w:val="center"/>
              <w:rPr>
                <w:rFonts w:cs="Arial"/>
              </w:rPr>
            </w:pPr>
            <w:r w:rsidRPr="009052C3">
              <w:rPr>
                <w:rFonts w:cs="Arial"/>
              </w:rPr>
              <w:t>90.9</w:t>
            </w:r>
          </w:p>
        </w:tc>
        <w:tc>
          <w:tcPr>
            <w:tcW w:w="1440" w:type="dxa"/>
          </w:tcPr>
          <w:p w:rsidR="009052C3" w:rsidRPr="009052C3" w:rsidRDefault="009052C3" w:rsidP="009052C3">
            <w:pPr>
              <w:jc w:val="center"/>
              <w:rPr>
                <w:rFonts w:cs="Arial"/>
              </w:rPr>
            </w:pPr>
            <w:r w:rsidRPr="009052C3">
              <w:rPr>
                <w:rFonts w:cs="Arial"/>
              </w:rPr>
              <w:t>90.9</w:t>
            </w:r>
          </w:p>
        </w:tc>
      </w:tr>
      <w:tr w:rsidR="009052C3" w:rsidRPr="009052C3" w:rsidTr="009052C3">
        <w:trPr>
          <w:trHeight w:val="288"/>
        </w:trPr>
        <w:tc>
          <w:tcPr>
            <w:tcW w:w="2988" w:type="dxa"/>
          </w:tcPr>
          <w:p w:rsidR="009052C3" w:rsidRPr="009052C3" w:rsidRDefault="009052C3" w:rsidP="009052C3">
            <w:pPr>
              <w:rPr>
                <w:rFonts w:cs="Arial"/>
                <w:b/>
              </w:rPr>
            </w:pPr>
            <w:r w:rsidRPr="009052C3">
              <w:rPr>
                <w:rFonts w:cs="Arial"/>
                <w:b/>
              </w:rPr>
              <w:t>Functioning</w:t>
            </w:r>
          </w:p>
        </w:tc>
        <w:tc>
          <w:tcPr>
            <w:tcW w:w="1530" w:type="dxa"/>
          </w:tcPr>
          <w:p w:rsidR="009052C3" w:rsidRPr="009052C3" w:rsidRDefault="009052C3" w:rsidP="009052C3">
            <w:pPr>
              <w:jc w:val="center"/>
              <w:rPr>
                <w:rFonts w:cs="Arial"/>
              </w:rPr>
            </w:pPr>
            <w:r w:rsidRPr="009052C3">
              <w:rPr>
                <w:rFonts w:cs="Arial"/>
              </w:rPr>
              <w:t>94.0</w:t>
            </w:r>
          </w:p>
        </w:tc>
        <w:tc>
          <w:tcPr>
            <w:tcW w:w="1440" w:type="dxa"/>
          </w:tcPr>
          <w:p w:rsidR="009052C3" w:rsidRPr="009052C3" w:rsidRDefault="009052C3" w:rsidP="009052C3">
            <w:pPr>
              <w:jc w:val="center"/>
              <w:rPr>
                <w:rFonts w:cs="Arial"/>
              </w:rPr>
            </w:pPr>
            <w:r w:rsidRPr="009052C3">
              <w:rPr>
                <w:rFonts w:cs="Arial"/>
              </w:rPr>
              <w:t>94.0</w:t>
            </w:r>
          </w:p>
        </w:tc>
      </w:tr>
      <w:tr w:rsidR="009052C3" w:rsidRPr="009052C3" w:rsidTr="009052C3">
        <w:trPr>
          <w:trHeight w:val="288"/>
        </w:trPr>
        <w:tc>
          <w:tcPr>
            <w:tcW w:w="2988" w:type="dxa"/>
          </w:tcPr>
          <w:p w:rsidR="009052C3" w:rsidRPr="009052C3" w:rsidRDefault="009052C3" w:rsidP="009052C3">
            <w:pPr>
              <w:rPr>
                <w:rFonts w:cs="Arial"/>
                <w:b/>
              </w:rPr>
            </w:pPr>
            <w:r w:rsidRPr="009052C3">
              <w:rPr>
                <w:rFonts w:cs="Arial"/>
                <w:b/>
              </w:rPr>
              <w:t>Treatment Plan participation</w:t>
            </w:r>
          </w:p>
        </w:tc>
        <w:tc>
          <w:tcPr>
            <w:tcW w:w="1530" w:type="dxa"/>
          </w:tcPr>
          <w:p w:rsidR="009052C3" w:rsidRPr="009052C3" w:rsidRDefault="009052C3" w:rsidP="009052C3">
            <w:pPr>
              <w:jc w:val="center"/>
              <w:rPr>
                <w:rFonts w:cs="Arial"/>
              </w:rPr>
            </w:pPr>
            <w:r w:rsidRPr="009052C3">
              <w:rPr>
                <w:rFonts w:cs="Arial"/>
              </w:rPr>
              <w:t>80.4</w:t>
            </w:r>
          </w:p>
        </w:tc>
        <w:tc>
          <w:tcPr>
            <w:tcW w:w="1440" w:type="dxa"/>
          </w:tcPr>
          <w:p w:rsidR="009052C3" w:rsidRPr="009052C3" w:rsidRDefault="009052C3" w:rsidP="009052C3">
            <w:pPr>
              <w:jc w:val="center"/>
              <w:rPr>
                <w:rFonts w:cs="Arial"/>
              </w:rPr>
            </w:pPr>
            <w:r w:rsidRPr="009052C3">
              <w:rPr>
                <w:rFonts w:cs="Arial"/>
              </w:rPr>
              <w:t>92.4</w:t>
            </w:r>
          </w:p>
        </w:tc>
      </w:tr>
    </w:tbl>
    <w:p w:rsidR="009052C3" w:rsidRPr="009052C3" w:rsidRDefault="009052C3" w:rsidP="009052C3">
      <w:pPr>
        <w:spacing w:before="8"/>
        <w:rPr>
          <w:rFonts w:eastAsia="Arial" w:cs="Arial"/>
        </w:rPr>
      </w:pPr>
    </w:p>
    <w:p w:rsidR="009052C3" w:rsidRPr="009052C3" w:rsidRDefault="009052C3" w:rsidP="009052C3">
      <w:pPr>
        <w:spacing w:before="8"/>
        <w:rPr>
          <w:rFonts w:eastAsia="Arial" w:cs="Arial"/>
        </w:rPr>
      </w:pPr>
    </w:p>
    <w:p w:rsidR="00194E43" w:rsidRDefault="00194E43" w:rsidP="009052C3">
      <w:pPr>
        <w:spacing w:before="4" w:line="360" w:lineRule="auto"/>
        <w:rPr>
          <w:w w:val="105"/>
        </w:rPr>
      </w:pPr>
    </w:p>
    <w:p w:rsidR="00194E43" w:rsidRDefault="00194E43" w:rsidP="009052C3">
      <w:pPr>
        <w:spacing w:before="4" w:line="360" w:lineRule="auto"/>
        <w:rPr>
          <w:w w:val="105"/>
        </w:rPr>
      </w:pPr>
    </w:p>
    <w:p w:rsidR="00194E43" w:rsidRDefault="00194E43" w:rsidP="009052C3">
      <w:pPr>
        <w:spacing w:before="4" w:line="360" w:lineRule="auto"/>
        <w:rPr>
          <w:w w:val="105"/>
        </w:rPr>
      </w:pPr>
    </w:p>
    <w:p w:rsidR="00194E43" w:rsidRDefault="00194E43" w:rsidP="002C61B0">
      <w:pPr>
        <w:spacing w:after="0"/>
        <w:rPr>
          <w:w w:val="105"/>
        </w:rPr>
      </w:pPr>
    </w:p>
    <w:p w:rsidR="009052C3" w:rsidRDefault="009052C3" w:rsidP="002C61B0">
      <w:pPr>
        <w:spacing w:after="0"/>
        <w:rPr>
          <w:w w:val="105"/>
        </w:rPr>
      </w:pPr>
      <w:r w:rsidRPr="009052C3">
        <w:rPr>
          <w:w w:val="105"/>
        </w:rPr>
        <w:t xml:space="preserve">This "matched" survey cohort exhibits a very similar pattern as that noted above. </w:t>
      </w:r>
      <w:r w:rsidR="002C61B0">
        <w:rPr>
          <w:w w:val="105"/>
        </w:rPr>
        <w:t xml:space="preserve"> </w:t>
      </w:r>
      <w:r w:rsidRPr="009052C3">
        <w:rPr>
          <w:w w:val="105"/>
        </w:rPr>
        <w:t xml:space="preserve">Again, the most positive change was noted on the following evaluation domains: satisfaction, access to care, quality of care followed by participation in treatment planning. </w:t>
      </w:r>
      <w:r w:rsidR="002C61B0">
        <w:rPr>
          <w:w w:val="105"/>
        </w:rPr>
        <w:t xml:space="preserve"> </w:t>
      </w:r>
      <w:r w:rsidRPr="009052C3">
        <w:rPr>
          <w:w w:val="105"/>
        </w:rPr>
        <w:t>While domains social connectedness and functioning almost remains the same across time.</w:t>
      </w:r>
    </w:p>
    <w:p w:rsidR="002C61B0" w:rsidRPr="009052C3" w:rsidRDefault="002C61B0" w:rsidP="002C61B0">
      <w:pPr>
        <w:spacing w:after="0"/>
        <w:rPr>
          <w:w w:val="105"/>
        </w:rPr>
      </w:pPr>
    </w:p>
    <w:p w:rsidR="009052C3" w:rsidRPr="009052C3" w:rsidRDefault="009052C3" w:rsidP="002C61B0">
      <w:pPr>
        <w:spacing w:after="0"/>
        <w:rPr>
          <w:rFonts w:eastAsia="Arial" w:cs="Arial"/>
        </w:rPr>
      </w:pPr>
      <w:r w:rsidRPr="00194E43">
        <w:rPr>
          <w:rFonts w:eastAsia="Arial"/>
        </w:rPr>
        <w:t xml:space="preserve">Table </w:t>
      </w:r>
      <w:r w:rsidR="00F8468E">
        <w:rPr>
          <w:rFonts w:eastAsia="Arial"/>
        </w:rPr>
        <w:t>S</w:t>
      </w:r>
      <w:r w:rsidRPr="009052C3">
        <w:rPr>
          <w:rFonts w:eastAsia="Arial"/>
        </w:rPr>
        <w:t xml:space="preserve"> displays results for the fourth and final comparison: the percentage of positive responses across time only for individuals completing the survey at the initial pre-transition point in time and at 18 months post-transition.</w:t>
      </w:r>
    </w:p>
    <w:p w:rsidR="002C61B0" w:rsidRDefault="002C61B0" w:rsidP="009052C3">
      <w:pPr>
        <w:pStyle w:val="BodyText"/>
        <w:ind w:left="1015" w:right="1024"/>
        <w:jc w:val="center"/>
        <w:rPr>
          <w:rFonts w:asciiTheme="minorHAnsi" w:hAnsiTheme="minorHAnsi"/>
          <w:b/>
          <w:sz w:val="22"/>
          <w:szCs w:val="22"/>
        </w:rPr>
      </w:pPr>
    </w:p>
    <w:p w:rsidR="002C61B0" w:rsidRDefault="002C61B0" w:rsidP="009052C3">
      <w:pPr>
        <w:pStyle w:val="BodyText"/>
        <w:ind w:left="1015" w:right="1024"/>
        <w:jc w:val="center"/>
        <w:rPr>
          <w:rFonts w:asciiTheme="minorHAnsi" w:hAnsiTheme="minorHAnsi"/>
          <w:b/>
          <w:sz w:val="22"/>
          <w:szCs w:val="22"/>
        </w:rPr>
      </w:pPr>
    </w:p>
    <w:p w:rsidR="002C61B0" w:rsidRDefault="002C61B0" w:rsidP="009052C3">
      <w:pPr>
        <w:pStyle w:val="BodyText"/>
        <w:ind w:left="1015" w:right="1024"/>
        <w:jc w:val="center"/>
        <w:rPr>
          <w:rFonts w:asciiTheme="minorHAnsi" w:hAnsiTheme="minorHAnsi"/>
          <w:b/>
          <w:sz w:val="22"/>
          <w:szCs w:val="22"/>
        </w:rPr>
      </w:pPr>
    </w:p>
    <w:p w:rsidR="00964563" w:rsidRDefault="00964563" w:rsidP="009052C3">
      <w:pPr>
        <w:pStyle w:val="BodyText"/>
        <w:ind w:left="1015" w:right="1024"/>
        <w:jc w:val="center"/>
        <w:rPr>
          <w:rFonts w:asciiTheme="minorHAnsi" w:hAnsiTheme="minorHAnsi"/>
          <w:b/>
          <w:sz w:val="22"/>
          <w:szCs w:val="22"/>
        </w:rPr>
      </w:pPr>
    </w:p>
    <w:p w:rsidR="00964563" w:rsidRDefault="00964563" w:rsidP="009052C3">
      <w:pPr>
        <w:pStyle w:val="BodyText"/>
        <w:ind w:left="1015" w:right="1024"/>
        <w:jc w:val="center"/>
        <w:rPr>
          <w:rFonts w:asciiTheme="minorHAnsi" w:hAnsiTheme="minorHAnsi"/>
          <w:b/>
          <w:sz w:val="22"/>
          <w:szCs w:val="22"/>
        </w:rPr>
      </w:pPr>
    </w:p>
    <w:p w:rsidR="008253DA" w:rsidRDefault="008253DA" w:rsidP="009052C3">
      <w:pPr>
        <w:pStyle w:val="BodyText"/>
        <w:ind w:left="1015" w:right="1024"/>
        <w:jc w:val="center"/>
        <w:rPr>
          <w:rFonts w:asciiTheme="minorHAnsi" w:hAnsiTheme="minorHAnsi"/>
          <w:b/>
          <w:sz w:val="22"/>
          <w:szCs w:val="22"/>
        </w:rPr>
      </w:pPr>
    </w:p>
    <w:p w:rsidR="009052C3" w:rsidRPr="00194E43" w:rsidRDefault="009052C3" w:rsidP="009052C3">
      <w:pPr>
        <w:pStyle w:val="BodyText"/>
        <w:ind w:left="1015" w:right="1024"/>
        <w:jc w:val="center"/>
        <w:rPr>
          <w:rFonts w:asciiTheme="minorHAnsi" w:hAnsiTheme="minorHAnsi"/>
          <w:b/>
          <w:sz w:val="22"/>
          <w:szCs w:val="22"/>
        </w:rPr>
      </w:pPr>
      <w:r w:rsidRPr="00194E43">
        <w:rPr>
          <w:rFonts w:asciiTheme="minorHAnsi" w:hAnsiTheme="minorHAnsi"/>
          <w:b/>
          <w:sz w:val="22"/>
          <w:szCs w:val="22"/>
        </w:rPr>
        <w:t>Table</w:t>
      </w:r>
      <w:r w:rsidR="00F8468E">
        <w:rPr>
          <w:rFonts w:asciiTheme="minorHAnsi" w:hAnsiTheme="minorHAnsi"/>
          <w:b/>
          <w:sz w:val="22"/>
          <w:szCs w:val="22"/>
        </w:rPr>
        <w:t xml:space="preserve"> S </w:t>
      </w:r>
    </w:p>
    <w:p w:rsidR="009052C3" w:rsidRPr="009052C3" w:rsidRDefault="009052C3" w:rsidP="009052C3">
      <w:pPr>
        <w:pStyle w:val="BodyText"/>
        <w:spacing w:before="43" w:line="277" w:lineRule="auto"/>
        <w:ind w:left="1023" w:right="1024"/>
        <w:jc w:val="center"/>
        <w:rPr>
          <w:rFonts w:asciiTheme="minorHAnsi" w:hAnsiTheme="minorHAnsi" w:cs="Arial"/>
          <w:b/>
          <w:sz w:val="22"/>
          <w:szCs w:val="22"/>
        </w:rPr>
      </w:pPr>
      <w:r w:rsidRPr="009052C3">
        <w:rPr>
          <w:rFonts w:asciiTheme="minorHAnsi" w:hAnsiTheme="minorHAnsi"/>
          <w:b/>
          <w:sz w:val="22"/>
          <w:szCs w:val="22"/>
        </w:rPr>
        <w:t>Percentage</w:t>
      </w:r>
      <w:r w:rsidRPr="009052C3">
        <w:rPr>
          <w:rFonts w:asciiTheme="minorHAnsi" w:hAnsiTheme="minorHAnsi"/>
          <w:b/>
          <w:spacing w:val="-12"/>
          <w:sz w:val="22"/>
          <w:szCs w:val="22"/>
        </w:rPr>
        <w:t xml:space="preserve"> </w:t>
      </w:r>
      <w:r w:rsidRPr="009052C3">
        <w:rPr>
          <w:rFonts w:asciiTheme="minorHAnsi" w:hAnsiTheme="minorHAnsi"/>
          <w:b/>
          <w:sz w:val="22"/>
          <w:szCs w:val="22"/>
        </w:rPr>
        <w:t>of</w:t>
      </w:r>
      <w:r w:rsidRPr="009052C3">
        <w:rPr>
          <w:rFonts w:asciiTheme="minorHAnsi" w:hAnsiTheme="minorHAnsi"/>
          <w:b/>
          <w:spacing w:val="-9"/>
          <w:sz w:val="22"/>
          <w:szCs w:val="22"/>
        </w:rPr>
        <w:t xml:space="preserve"> </w:t>
      </w:r>
      <w:r w:rsidRPr="009052C3">
        <w:rPr>
          <w:rFonts w:asciiTheme="minorHAnsi" w:hAnsiTheme="minorHAnsi"/>
          <w:b/>
          <w:spacing w:val="-2"/>
          <w:sz w:val="22"/>
          <w:szCs w:val="22"/>
        </w:rPr>
        <w:t>Positi</w:t>
      </w:r>
      <w:r w:rsidRPr="009052C3">
        <w:rPr>
          <w:rFonts w:asciiTheme="minorHAnsi" w:hAnsiTheme="minorHAnsi"/>
          <w:b/>
          <w:spacing w:val="-3"/>
          <w:sz w:val="22"/>
          <w:szCs w:val="22"/>
        </w:rPr>
        <w:t>ve</w:t>
      </w:r>
      <w:r w:rsidRPr="009052C3">
        <w:rPr>
          <w:rFonts w:asciiTheme="minorHAnsi" w:hAnsiTheme="minorHAnsi"/>
          <w:b/>
          <w:spacing w:val="-7"/>
          <w:sz w:val="22"/>
          <w:szCs w:val="22"/>
        </w:rPr>
        <w:t xml:space="preserve"> </w:t>
      </w:r>
      <w:r w:rsidRPr="009052C3">
        <w:rPr>
          <w:rFonts w:asciiTheme="minorHAnsi" w:hAnsiTheme="minorHAnsi"/>
          <w:b/>
          <w:sz w:val="22"/>
          <w:szCs w:val="22"/>
        </w:rPr>
        <w:t>Class</w:t>
      </w:r>
      <w:r w:rsidRPr="009052C3">
        <w:rPr>
          <w:rFonts w:asciiTheme="minorHAnsi" w:hAnsiTheme="minorHAnsi"/>
          <w:b/>
          <w:spacing w:val="-5"/>
          <w:sz w:val="22"/>
          <w:szCs w:val="22"/>
        </w:rPr>
        <w:t xml:space="preserve"> </w:t>
      </w:r>
      <w:r w:rsidRPr="009052C3">
        <w:rPr>
          <w:rFonts w:asciiTheme="minorHAnsi" w:hAnsiTheme="minorHAnsi"/>
          <w:b/>
          <w:sz w:val="22"/>
          <w:szCs w:val="22"/>
        </w:rPr>
        <w:t>Member</w:t>
      </w:r>
      <w:r w:rsidRPr="009052C3">
        <w:rPr>
          <w:rFonts w:asciiTheme="minorHAnsi" w:hAnsiTheme="minorHAnsi"/>
          <w:b/>
          <w:spacing w:val="-4"/>
          <w:sz w:val="22"/>
          <w:szCs w:val="22"/>
        </w:rPr>
        <w:t xml:space="preserve"> </w:t>
      </w:r>
      <w:r w:rsidRPr="009052C3">
        <w:rPr>
          <w:rFonts w:asciiTheme="minorHAnsi" w:hAnsiTheme="minorHAnsi"/>
          <w:b/>
          <w:sz w:val="22"/>
          <w:szCs w:val="22"/>
        </w:rPr>
        <w:t>Responses</w:t>
      </w:r>
      <w:r w:rsidRPr="009052C3">
        <w:rPr>
          <w:rFonts w:asciiTheme="minorHAnsi" w:hAnsiTheme="minorHAnsi"/>
          <w:b/>
          <w:spacing w:val="-1"/>
          <w:sz w:val="22"/>
          <w:szCs w:val="22"/>
        </w:rPr>
        <w:t xml:space="preserve"> </w:t>
      </w:r>
      <w:proofErr w:type="gramStart"/>
      <w:r w:rsidRPr="009052C3">
        <w:rPr>
          <w:rFonts w:asciiTheme="minorHAnsi" w:hAnsiTheme="minorHAnsi"/>
          <w:b/>
          <w:sz w:val="22"/>
          <w:szCs w:val="22"/>
        </w:rPr>
        <w:t>By</w:t>
      </w:r>
      <w:proofErr w:type="gramEnd"/>
      <w:r w:rsidRPr="009052C3">
        <w:rPr>
          <w:rFonts w:asciiTheme="minorHAnsi" w:hAnsiTheme="minorHAnsi"/>
          <w:b/>
          <w:spacing w:val="-15"/>
          <w:sz w:val="22"/>
          <w:szCs w:val="22"/>
        </w:rPr>
        <w:t xml:space="preserve"> </w:t>
      </w:r>
      <w:r w:rsidRPr="009052C3">
        <w:rPr>
          <w:rFonts w:asciiTheme="minorHAnsi" w:hAnsiTheme="minorHAnsi"/>
          <w:b/>
          <w:spacing w:val="-1"/>
          <w:sz w:val="22"/>
          <w:szCs w:val="22"/>
        </w:rPr>
        <w:t>Evaluation</w:t>
      </w:r>
      <w:r w:rsidRPr="009052C3">
        <w:rPr>
          <w:rFonts w:asciiTheme="minorHAnsi" w:hAnsiTheme="minorHAnsi"/>
          <w:b/>
          <w:spacing w:val="-9"/>
          <w:sz w:val="22"/>
          <w:szCs w:val="22"/>
        </w:rPr>
        <w:t xml:space="preserve"> </w:t>
      </w:r>
      <w:r w:rsidRPr="009052C3">
        <w:rPr>
          <w:rFonts w:asciiTheme="minorHAnsi" w:hAnsiTheme="minorHAnsi"/>
          <w:b/>
          <w:sz w:val="22"/>
          <w:szCs w:val="22"/>
        </w:rPr>
        <w:t>Domain</w:t>
      </w:r>
      <w:r w:rsidRPr="009052C3">
        <w:rPr>
          <w:rFonts w:asciiTheme="minorHAnsi" w:hAnsiTheme="minorHAnsi"/>
          <w:b/>
          <w:spacing w:val="-24"/>
          <w:sz w:val="22"/>
          <w:szCs w:val="22"/>
        </w:rPr>
        <w:t xml:space="preserve"> </w:t>
      </w:r>
      <w:r w:rsidRPr="009052C3">
        <w:rPr>
          <w:rFonts w:asciiTheme="minorHAnsi" w:hAnsiTheme="minorHAnsi"/>
          <w:b/>
          <w:sz w:val="22"/>
          <w:szCs w:val="22"/>
        </w:rPr>
        <w:t>Across</w:t>
      </w:r>
      <w:r w:rsidRPr="009052C3">
        <w:rPr>
          <w:rFonts w:asciiTheme="minorHAnsi" w:hAnsiTheme="minorHAnsi"/>
          <w:b/>
          <w:spacing w:val="-8"/>
          <w:sz w:val="22"/>
          <w:szCs w:val="22"/>
        </w:rPr>
        <w:t xml:space="preserve"> </w:t>
      </w:r>
      <w:r w:rsidRPr="009052C3">
        <w:rPr>
          <w:rFonts w:asciiTheme="minorHAnsi" w:hAnsiTheme="minorHAnsi"/>
          <w:b/>
          <w:sz w:val="22"/>
          <w:szCs w:val="22"/>
        </w:rPr>
        <w:t>Time</w:t>
      </w:r>
      <w:r w:rsidRPr="009052C3">
        <w:rPr>
          <w:rFonts w:asciiTheme="minorHAnsi" w:hAnsiTheme="minorHAnsi"/>
          <w:b/>
          <w:spacing w:val="21"/>
          <w:sz w:val="22"/>
          <w:szCs w:val="22"/>
        </w:rPr>
        <w:t xml:space="preserve"> </w:t>
      </w:r>
      <w:r w:rsidRPr="009052C3">
        <w:rPr>
          <w:rFonts w:asciiTheme="minorHAnsi" w:hAnsiTheme="minorHAnsi"/>
          <w:b/>
          <w:spacing w:val="-1"/>
          <w:sz w:val="22"/>
          <w:szCs w:val="22"/>
        </w:rPr>
        <w:t>Rati</w:t>
      </w:r>
      <w:r w:rsidRPr="009052C3">
        <w:rPr>
          <w:rFonts w:asciiTheme="minorHAnsi" w:hAnsiTheme="minorHAnsi"/>
          <w:b/>
          <w:spacing w:val="-2"/>
          <w:sz w:val="22"/>
          <w:szCs w:val="22"/>
        </w:rPr>
        <w:t>ngs</w:t>
      </w:r>
      <w:r w:rsidRPr="009052C3">
        <w:rPr>
          <w:rFonts w:asciiTheme="minorHAnsi" w:hAnsiTheme="minorHAnsi"/>
          <w:b/>
          <w:spacing w:val="2"/>
          <w:sz w:val="22"/>
          <w:szCs w:val="22"/>
        </w:rPr>
        <w:t xml:space="preserve"> </w:t>
      </w:r>
      <w:r w:rsidRPr="009052C3">
        <w:rPr>
          <w:rFonts w:asciiTheme="minorHAnsi" w:hAnsiTheme="minorHAnsi"/>
          <w:b/>
          <w:sz w:val="22"/>
          <w:szCs w:val="22"/>
        </w:rPr>
        <w:t>Made</w:t>
      </w:r>
      <w:r w:rsidRPr="009052C3">
        <w:rPr>
          <w:rFonts w:asciiTheme="minorHAnsi" w:hAnsiTheme="minorHAnsi"/>
          <w:b/>
          <w:spacing w:val="3"/>
          <w:sz w:val="22"/>
          <w:szCs w:val="22"/>
        </w:rPr>
        <w:t xml:space="preserve"> </w:t>
      </w:r>
      <w:r w:rsidRPr="009052C3">
        <w:rPr>
          <w:rFonts w:asciiTheme="minorHAnsi" w:hAnsiTheme="minorHAnsi"/>
          <w:b/>
          <w:sz w:val="22"/>
          <w:szCs w:val="22"/>
        </w:rPr>
        <w:t>by</w:t>
      </w:r>
      <w:r w:rsidRPr="009052C3">
        <w:rPr>
          <w:rFonts w:asciiTheme="minorHAnsi" w:hAnsiTheme="minorHAnsi"/>
          <w:b/>
          <w:spacing w:val="-10"/>
          <w:sz w:val="22"/>
          <w:szCs w:val="22"/>
        </w:rPr>
        <w:t xml:space="preserve"> </w:t>
      </w:r>
      <w:r w:rsidRPr="009052C3">
        <w:rPr>
          <w:rFonts w:asciiTheme="minorHAnsi" w:hAnsiTheme="minorHAnsi"/>
          <w:b/>
          <w:sz w:val="22"/>
          <w:szCs w:val="22"/>
        </w:rPr>
        <w:t>the</w:t>
      </w:r>
      <w:r w:rsidRPr="009052C3">
        <w:rPr>
          <w:rFonts w:asciiTheme="minorHAnsi" w:hAnsiTheme="minorHAnsi"/>
          <w:b/>
          <w:spacing w:val="1"/>
          <w:sz w:val="22"/>
          <w:szCs w:val="22"/>
        </w:rPr>
        <w:t xml:space="preserve"> </w:t>
      </w:r>
      <w:r w:rsidRPr="009052C3">
        <w:rPr>
          <w:rFonts w:asciiTheme="minorHAnsi" w:hAnsiTheme="minorHAnsi"/>
          <w:b/>
          <w:sz w:val="22"/>
          <w:szCs w:val="22"/>
        </w:rPr>
        <w:t>Same</w:t>
      </w:r>
      <w:r w:rsidRPr="009052C3">
        <w:rPr>
          <w:rFonts w:asciiTheme="minorHAnsi" w:hAnsiTheme="minorHAnsi"/>
          <w:b/>
          <w:spacing w:val="11"/>
          <w:sz w:val="22"/>
          <w:szCs w:val="22"/>
        </w:rPr>
        <w:t xml:space="preserve"> </w:t>
      </w:r>
      <w:r w:rsidRPr="009052C3">
        <w:rPr>
          <w:rFonts w:asciiTheme="minorHAnsi" w:hAnsiTheme="minorHAnsi"/>
          <w:b/>
          <w:sz w:val="22"/>
          <w:szCs w:val="22"/>
        </w:rPr>
        <w:t>Cohort</w:t>
      </w:r>
      <w:r w:rsidRPr="009052C3">
        <w:rPr>
          <w:rFonts w:asciiTheme="minorHAnsi" w:hAnsiTheme="minorHAnsi"/>
          <w:b/>
          <w:spacing w:val="7"/>
          <w:sz w:val="22"/>
          <w:szCs w:val="22"/>
        </w:rPr>
        <w:t xml:space="preserve"> </w:t>
      </w:r>
      <w:r w:rsidRPr="009052C3">
        <w:rPr>
          <w:rFonts w:asciiTheme="minorHAnsi" w:hAnsiTheme="minorHAnsi"/>
          <w:b/>
          <w:sz w:val="22"/>
          <w:szCs w:val="22"/>
        </w:rPr>
        <w:t>Pre-IMD</w:t>
      </w:r>
      <w:r w:rsidRPr="009052C3">
        <w:rPr>
          <w:rFonts w:asciiTheme="minorHAnsi" w:hAnsiTheme="minorHAnsi"/>
          <w:b/>
          <w:spacing w:val="-20"/>
          <w:sz w:val="22"/>
          <w:szCs w:val="22"/>
        </w:rPr>
        <w:t xml:space="preserve"> </w:t>
      </w:r>
      <w:r w:rsidRPr="009052C3">
        <w:rPr>
          <w:rFonts w:asciiTheme="minorHAnsi" w:hAnsiTheme="minorHAnsi"/>
          <w:b/>
          <w:sz w:val="22"/>
          <w:szCs w:val="22"/>
        </w:rPr>
        <w:t>Transition</w:t>
      </w:r>
      <w:r w:rsidRPr="009052C3">
        <w:rPr>
          <w:rFonts w:asciiTheme="minorHAnsi" w:hAnsiTheme="minorHAnsi"/>
          <w:b/>
          <w:spacing w:val="8"/>
          <w:sz w:val="22"/>
          <w:szCs w:val="22"/>
        </w:rPr>
        <w:t xml:space="preserve"> </w:t>
      </w:r>
      <w:r w:rsidRPr="009052C3">
        <w:rPr>
          <w:rFonts w:asciiTheme="minorHAnsi" w:hAnsiTheme="minorHAnsi"/>
          <w:b/>
          <w:sz w:val="22"/>
          <w:szCs w:val="22"/>
        </w:rPr>
        <w:t>and</w:t>
      </w:r>
      <w:r w:rsidRPr="009052C3">
        <w:rPr>
          <w:rFonts w:asciiTheme="minorHAnsi" w:hAnsiTheme="minorHAnsi"/>
          <w:b/>
          <w:spacing w:val="9"/>
          <w:sz w:val="22"/>
          <w:szCs w:val="22"/>
        </w:rPr>
        <w:t xml:space="preserve"> </w:t>
      </w:r>
      <w:r w:rsidRPr="009052C3">
        <w:rPr>
          <w:rFonts w:asciiTheme="minorHAnsi" w:hAnsiTheme="minorHAnsi"/>
          <w:b/>
          <w:sz w:val="22"/>
          <w:szCs w:val="22"/>
        </w:rPr>
        <w:t>Post</w:t>
      </w:r>
      <w:r w:rsidRPr="009052C3">
        <w:rPr>
          <w:rFonts w:asciiTheme="minorHAnsi" w:hAnsiTheme="minorHAnsi"/>
          <w:b/>
          <w:spacing w:val="1"/>
          <w:sz w:val="22"/>
          <w:szCs w:val="22"/>
        </w:rPr>
        <w:t xml:space="preserve"> </w:t>
      </w:r>
      <w:r w:rsidRPr="009052C3">
        <w:rPr>
          <w:rFonts w:asciiTheme="minorHAnsi" w:hAnsiTheme="minorHAnsi"/>
          <w:b/>
          <w:sz w:val="22"/>
          <w:szCs w:val="22"/>
        </w:rPr>
        <w:t>IMD</w:t>
      </w:r>
    </w:p>
    <w:p w:rsidR="009052C3" w:rsidRPr="009052C3" w:rsidRDefault="009052C3" w:rsidP="009052C3">
      <w:pPr>
        <w:pStyle w:val="BodyText"/>
        <w:spacing w:before="1"/>
        <w:ind w:left="1011" w:right="1024"/>
        <w:jc w:val="center"/>
        <w:rPr>
          <w:rFonts w:asciiTheme="minorHAnsi" w:hAnsiTheme="minorHAnsi"/>
          <w:b/>
          <w:sz w:val="22"/>
          <w:szCs w:val="22"/>
        </w:rPr>
      </w:pPr>
      <w:r w:rsidRPr="009052C3">
        <w:rPr>
          <w:rFonts w:asciiTheme="minorHAnsi" w:hAnsiTheme="minorHAnsi"/>
          <w:b/>
          <w:spacing w:val="-9"/>
          <w:w w:val="105"/>
          <w:sz w:val="22"/>
          <w:szCs w:val="22"/>
        </w:rPr>
        <w:t>Transition at 18 Months</w:t>
      </w:r>
      <w:r w:rsidRPr="009052C3">
        <w:rPr>
          <w:rFonts w:asciiTheme="minorHAnsi" w:hAnsiTheme="minorHAnsi"/>
          <w:b/>
          <w:spacing w:val="-24"/>
          <w:w w:val="115"/>
          <w:sz w:val="22"/>
          <w:szCs w:val="22"/>
        </w:rPr>
        <w:t xml:space="preserve"> </w:t>
      </w:r>
      <w:r w:rsidRPr="009052C3">
        <w:rPr>
          <w:rFonts w:asciiTheme="minorHAnsi" w:hAnsiTheme="minorHAnsi"/>
          <w:b/>
          <w:w w:val="110"/>
          <w:sz w:val="22"/>
          <w:szCs w:val="22"/>
        </w:rPr>
        <w:t>(n=240)</w:t>
      </w:r>
    </w:p>
    <w:p w:rsidR="009052C3" w:rsidRPr="009052C3" w:rsidRDefault="009052C3" w:rsidP="009052C3">
      <w:pPr>
        <w:rPr>
          <w:rFonts w:eastAsia="Arial" w:cs="Arial"/>
        </w:rPr>
      </w:pPr>
    </w:p>
    <w:tbl>
      <w:tblPr>
        <w:tblStyle w:val="TableGrid"/>
        <w:tblpPr w:leftFromText="180" w:rightFromText="180" w:vertAnchor="text" w:horzAnchor="margin" w:tblpXSpec="center" w:tblpY="101"/>
        <w:tblOverlap w:val="never"/>
        <w:tblW w:w="0" w:type="auto"/>
        <w:tblLook w:val="04A0" w:firstRow="1" w:lastRow="0" w:firstColumn="1" w:lastColumn="0" w:noHBand="0" w:noVBand="1"/>
      </w:tblPr>
      <w:tblGrid>
        <w:gridCol w:w="2898"/>
        <w:gridCol w:w="1710"/>
        <w:gridCol w:w="1350"/>
      </w:tblGrid>
      <w:tr w:rsidR="009052C3" w:rsidRPr="009052C3" w:rsidTr="009052C3">
        <w:trPr>
          <w:trHeight w:val="288"/>
        </w:trPr>
        <w:tc>
          <w:tcPr>
            <w:tcW w:w="2898" w:type="dxa"/>
            <w:shd w:val="clear" w:color="auto" w:fill="BFBFBF" w:themeFill="background1" w:themeFillShade="BF"/>
          </w:tcPr>
          <w:p w:rsidR="009052C3" w:rsidRPr="009052C3" w:rsidRDefault="009052C3" w:rsidP="009052C3">
            <w:pPr>
              <w:rPr>
                <w:rFonts w:cs="Arial"/>
              </w:rPr>
            </w:pPr>
          </w:p>
        </w:tc>
        <w:tc>
          <w:tcPr>
            <w:tcW w:w="1710" w:type="dxa"/>
            <w:tcBorders>
              <w:bottom w:val="single" w:sz="4" w:space="0" w:color="auto"/>
            </w:tcBorders>
          </w:tcPr>
          <w:p w:rsidR="009052C3" w:rsidRPr="009052C3" w:rsidRDefault="009052C3" w:rsidP="009052C3">
            <w:pPr>
              <w:jc w:val="center"/>
              <w:rPr>
                <w:rFonts w:cs="Arial"/>
                <w:b/>
              </w:rPr>
            </w:pPr>
            <w:r w:rsidRPr="009052C3">
              <w:rPr>
                <w:rFonts w:cs="Arial"/>
                <w:b/>
              </w:rPr>
              <w:t>Pre-Transition</w:t>
            </w:r>
          </w:p>
        </w:tc>
        <w:tc>
          <w:tcPr>
            <w:tcW w:w="1350" w:type="dxa"/>
            <w:tcBorders>
              <w:bottom w:val="single" w:sz="4" w:space="0" w:color="auto"/>
            </w:tcBorders>
          </w:tcPr>
          <w:p w:rsidR="009052C3" w:rsidRPr="009052C3" w:rsidRDefault="009052C3" w:rsidP="009052C3">
            <w:pPr>
              <w:jc w:val="center"/>
              <w:rPr>
                <w:rFonts w:cs="Arial"/>
                <w:b/>
              </w:rPr>
            </w:pPr>
            <w:r w:rsidRPr="009052C3">
              <w:rPr>
                <w:rFonts w:cs="Arial"/>
                <w:b/>
              </w:rPr>
              <w:t>18 Months</w:t>
            </w:r>
          </w:p>
        </w:tc>
      </w:tr>
      <w:tr w:rsidR="009052C3" w:rsidRPr="009052C3" w:rsidTr="009052C3">
        <w:trPr>
          <w:trHeight w:val="288"/>
        </w:trPr>
        <w:tc>
          <w:tcPr>
            <w:tcW w:w="2898" w:type="dxa"/>
          </w:tcPr>
          <w:p w:rsidR="009052C3" w:rsidRPr="009052C3" w:rsidRDefault="009052C3" w:rsidP="009052C3">
            <w:pPr>
              <w:rPr>
                <w:rFonts w:cs="Arial"/>
                <w:b/>
              </w:rPr>
            </w:pPr>
            <w:r w:rsidRPr="009052C3">
              <w:rPr>
                <w:rFonts w:cs="Arial"/>
                <w:b/>
              </w:rPr>
              <w:t>Evaluation Domain</w:t>
            </w:r>
          </w:p>
        </w:tc>
        <w:tc>
          <w:tcPr>
            <w:tcW w:w="1710" w:type="dxa"/>
            <w:shd w:val="clear" w:color="auto" w:fill="BFBFBF" w:themeFill="background1" w:themeFillShade="BF"/>
          </w:tcPr>
          <w:p w:rsidR="009052C3" w:rsidRPr="009052C3" w:rsidRDefault="009052C3" w:rsidP="009052C3">
            <w:pPr>
              <w:jc w:val="center"/>
              <w:rPr>
                <w:rFonts w:cs="Arial"/>
              </w:rPr>
            </w:pPr>
          </w:p>
        </w:tc>
        <w:tc>
          <w:tcPr>
            <w:tcW w:w="1350" w:type="dxa"/>
            <w:shd w:val="clear" w:color="auto" w:fill="BFBFBF" w:themeFill="background1" w:themeFillShade="BF"/>
          </w:tcPr>
          <w:p w:rsidR="009052C3" w:rsidRPr="009052C3" w:rsidRDefault="009052C3" w:rsidP="009052C3">
            <w:pPr>
              <w:jc w:val="center"/>
              <w:rPr>
                <w:rFonts w:cs="Arial"/>
              </w:rPr>
            </w:pPr>
          </w:p>
        </w:tc>
      </w:tr>
      <w:tr w:rsidR="009052C3" w:rsidRPr="009052C3" w:rsidTr="009052C3">
        <w:trPr>
          <w:trHeight w:val="288"/>
        </w:trPr>
        <w:tc>
          <w:tcPr>
            <w:tcW w:w="2898" w:type="dxa"/>
          </w:tcPr>
          <w:p w:rsidR="009052C3" w:rsidRPr="009052C3" w:rsidRDefault="009052C3" w:rsidP="009052C3">
            <w:pPr>
              <w:rPr>
                <w:rFonts w:cs="Arial"/>
                <w:b/>
              </w:rPr>
            </w:pPr>
            <w:r w:rsidRPr="009052C3">
              <w:rPr>
                <w:rFonts w:cs="Arial"/>
                <w:b/>
              </w:rPr>
              <w:t>Access</w:t>
            </w:r>
          </w:p>
        </w:tc>
        <w:tc>
          <w:tcPr>
            <w:tcW w:w="1710" w:type="dxa"/>
          </w:tcPr>
          <w:p w:rsidR="009052C3" w:rsidRPr="009052C3" w:rsidRDefault="009052C3" w:rsidP="009052C3">
            <w:pPr>
              <w:jc w:val="center"/>
              <w:rPr>
                <w:rFonts w:cs="Arial"/>
              </w:rPr>
            </w:pPr>
            <w:r w:rsidRPr="009052C3">
              <w:rPr>
                <w:rFonts w:cs="Arial"/>
              </w:rPr>
              <w:t>75.0</w:t>
            </w:r>
          </w:p>
        </w:tc>
        <w:tc>
          <w:tcPr>
            <w:tcW w:w="1350" w:type="dxa"/>
          </w:tcPr>
          <w:p w:rsidR="009052C3" w:rsidRPr="009052C3" w:rsidRDefault="009052C3" w:rsidP="009052C3">
            <w:pPr>
              <w:jc w:val="center"/>
              <w:rPr>
                <w:rFonts w:cs="Arial"/>
              </w:rPr>
            </w:pPr>
            <w:r w:rsidRPr="009052C3">
              <w:rPr>
                <w:rFonts w:cs="Arial"/>
              </w:rPr>
              <w:t>89.6</w:t>
            </w:r>
          </w:p>
        </w:tc>
      </w:tr>
      <w:tr w:rsidR="009052C3" w:rsidRPr="009052C3" w:rsidTr="009052C3">
        <w:trPr>
          <w:trHeight w:val="288"/>
        </w:trPr>
        <w:tc>
          <w:tcPr>
            <w:tcW w:w="2898" w:type="dxa"/>
          </w:tcPr>
          <w:p w:rsidR="009052C3" w:rsidRPr="009052C3" w:rsidRDefault="009052C3" w:rsidP="009052C3">
            <w:pPr>
              <w:rPr>
                <w:rFonts w:cs="Arial"/>
                <w:b/>
              </w:rPr>
            </w:pPr>
            <w:r w:rsidRPr="009052C3">
              <w:rPr>
                <w:rFonts w:cs="Arial"/>
                <w:b/>
              </w:rPr>
              <w:t xml:space="preserve">Quality </w:t>
            </w:r>
          </w:p>
        </w:tc>
        <w:tc>
          <w:tcPr>
            <w:tcW w:w="1710" w:type="dxa"/>
          </w:tcPr>
          <w:p w:rsidR="009052C3" w:rsidRPr="009052C3" w:rsidRDefault="009052C3" w:rsidP="009052C3">
            <w:pPr>
              <w:jc w:val="center"/>
              <w:rPr>
                <w:rFonts w:cs="Arial"/>
              </w:rPr>
            </w:pPr>
            <w:r w:rsidRPr="009052C3">
              <w:rPr>
                <w:rFonts w:cs="Arial"/>
              </w:rPr>
              <w:t>78.8</w:t>
            </w:r>
          </w:p>
        </w:tc>
        <w:tc>
          <w:tcPr>
            <w:tcW w:w="1350" w:type="dxa"/>
          </w:tcPr>
          <w:p w:rsidR="009052C3" w:rsidRPr="009052C3" w:rsidRDefault="009052C3" w:rsidP="009052C3">
            <w:pPr>
              <w:jc w:val="center"/>
              <w:rPr>
                <w:rFonts w:cs="Arial"/>
              </w:rPr>
            </w:pPr>
            <w:r w:rsidRPr="009052C3">
              <w:rPr>
                <w:rFonts w:cs="Arial"/>
              </w:rPr>
              <w:t>90.0</w:t>
            </w:r>
          </w:p>
        </w:tc>
      </w:tr>
      <w:tr w:rsidR="009052C3" w:rsidRPr="009052C3" w:rsidTr="009052C3">
        <w:trPr>
          <w:trHeight w:val="288"/>
        </w:trPr>
        <w:tc>
          <w:tcPr>
            <w:tcW w:w="2898" w:type="dxa"/>
          </w:tcPr>
          <w:p w:rsidR="009052C3" w:rsidRPr="009052C3" w:rsidRDefault="009052C3" w:rsidP="009052C3">
            <w:pPr>
              <w:rPr>
                <w:rFonts w:cs="Arial"/>
                <w:b/>
              </w:rPr>
            </w:pPr>
            <w:r w:rsidRPr="009052C3">
              <w:rPr>
                <w:rFonts w:cs="Arial"/>
                <w:b/>
              </w:rPr>
              <w:t>Outcome</w:t>
            </w:r>
          </w:p>
        </w:tc>
        <w:tc>
          <w:tcPr>
            <w:tcW w:w="1710" w:type="dxa"/>
          </w:tcPr>
          <w:p w:rsidR="009052C3" w:rsidRPr="009052C3" w:rsidRDefault="009052C3" w:rsidP="009052C3">
            <w:pPr>
              <w:jc w:val="center"/>
              <w:rPr>
                <w:rFonts w:cs="Arial"/>
              </w:rPr>
            </w:pPr>
            <w:r w:rsidRPr="009052C3">
              <w:rPr>
                <w:rFonts w:cs="Arial"/>
              </w:rPr>
              <w:t>92.9</w:t>
            </w:r>
          </w:p>
        </w:tc>
        <w:tc>
          <w:tcPr>
            <w:tcW w:w="1350" w:type="dxa"/>
          </w:tcPr>
          <w:p w:rsidR="009052C3" w:rsidRPr="009052C3" w:rsidRDefault="009052C3" w:rsidP="009052C3">
            <w:pPr>
              <w:jc w:val="center"/>
              <w:rPr>
                <w:rFonts w:cs="Arial"/>
              </w:rPr>
            </w:pPr>
            <w:r w:rsidRPr="009052C3">
              <w:rPr>
                <w:rFonts w:cs="Arial"/>
              </w:rPr>
              <w:t>89.2</w:t>
            </w:r>
          </w:p>
        </w:tc>
      </w:tr>
      <w:tr w:rsidR="009052C3" w:rsidRPr="009052C3" w:rsidTr="009052C3">
        <w:trPr>
          <w:trHeight w:val="288"/>
        </w:trPr>
        <w:tc>
          <w:tcPr>
            <w:tcW w:w="2898" w:type="dxa"/>
          </w:tcPr>
          <w:p w:rsidR="009052C3" w:rsidRPr="009052C3" w:rsidRDefault="009052C3" w:rsidP="009052C3">
            <w:pPr>
              <w:rPr>
                <w:rFonts w:cs="Arial"/>
                <w:b/>
              </w:rPr>
            </w:pPr>
            <w:r w:rsidRPr="009052C3">
              <w:rPr>
                <w:rFonts w:cs="Arial"/>
                <w:b/>
              </w:rPr>
              <w:t>Satisfaction</w:t>
            </w:r>
          </w:p>
        </w:tc>
        <w:tc>
          <w:tcPr>
            <w:tcW w:w="1710" w:type="dxa"/>
          </w:tcPr>
          <w:p w:rsidR="009052C3" w:rsidRPr="009052C3" w:rsidRDefault="009052C3" w:rsidP="009052C3">
            <w:pPr>
              <w:jc w:val="center"/>
              <w:rPr>
                <w:rFonts w:cs="Arial"/>
              </w:rPr>
            </w:pPr>
            <w:r w:rsidRPr="009052C3">
              <w:rPr>
                <w:rFonts w:cs="Arial"/>
              </w:rPr>
              <w:t>66.3</w:t>
            </w:r>
          </w:p>
        </w:tc>
        <w:tc>
          <w:tcPr>
            <w:tcW w:w="1350" w:type="dxa"/>
          </w:tcPr>
          <w:p w:rsidR="009052C3" w:rsidRPr="009052C3" w:rsidRDefault="009052C3" w:rsidP="009052C3">
            <w:pPr>
              <w:jc w:val="center"/>
              <w:rPr>
                <w:rFonts w:cs="Arial"/>
              </w:rPr>
            </w:pPr>
            <w:r w:rsidRPr="009052C3">
              <w:rPr>
                <w:rFonts w:cs="Arial"/>
              </w:rPr>
              <w:t>88.8</w:t>
            </w:r>
          </w:p>
        </w:tc>
      </w:tr>
      <w:tr w:rsidR="009052C3" w:rsidRPr="009052C3" w:rsidTr="009052C3">
        <w:trPr>
          <w:trHeight w:val="288"/>
        </w:trPr>
        <w:tc>
          <w:tcPr>
            <w:tcW w:w="2898" w:type="dxa"/>
          </w:tcPr>
          <w:p w:rsidR="009052C3" w:rsidRPr="009052C3" w:rsidRDefault="009052C3" w:rsidP="009052C3">
            <w:pPr>
              <w:rPr>
                <w:rFonts w:cs="Arial"/>
                <w:b/>
              </w:rPr>
            </w:pPr>
            <w:r w:rsidRPr="009052C3">
              <w:rPr>
                <w:rFonts w:cs="Arial"/>
                <w:b/>
              </w:rPr>
              <w:t>Social Connectedness</w:t>
            </w:r>
          </w:p>
        </w:tc>
        <w:tc>
          <w:tcPr>
            <w:tcW w:w="1710" w:type="dxa"/>
          </w:tcPr>
          <w:p w:rsidR="009052C3" w:rsidRPr="009052C3" w:rsidRDefault="009052C3" w:rsidP="009052C3">
            <w:pPr>
              <w:jc w:val="center"/>
              <w:rPr>
                <w:rFonts w:cs="Arial"/>
              </w:rPr>
            </w:pPr>
            <w:r w:rsidRPr="009052C3">
              <w:rPr>
                <w:rFonts w:cs="Arial"/>
              </w:rPr>
              <w:t>90.0</w:t>
            </w:r>
          </w:p>
        </w:tc>
        <w:tc>
          <w:tcPr>
            <w:tcW w:w="1350" w:type="dxa"/>
          </w:tcPr>
          <w:p w:rsidR="009052C3" w:rsidRPr="009052C3" w:rsidRDefault="009052C3" w:rsidP="009052C3">
            <w:pPr>
              <w:jc w:val="center"/>
              <w:rPr>
                <w:rFonts w:cs="Arial"/>
              </w:rPr>
            </w:pPr>
            <w:r w:rsidRPr="009052C3">
              <w:rPr>
                <w:rFonts w:cs="Arial"/>
              </w:rPr>
              <w:t>87.1</w:t>
            </w:r>
          </w:p>
        </w:tc>
      </w:tr>
      <w:tr w:rsidR="009052C3" w:rsidRPr="009052C3" w:rsidTr="009052C3">
        <w:trPr>
          <w:trHeight w:val="288"/>
        </w:trPr>
        <w:tc>
          <w:tcPr>
            <w:tcW w:w="2898" w:type="dxa"/>
          </w:tcPr>
          <w:p w:rsidR="009052C3" w:rsidRPr="009052C3" w:rsidRDefault="009052C3" w:rsidP="009052C3">
            <w:pPr>
              <w:rPr>
                <w:rFonts w:cs="Arial"/>
                <w:b/>
              </w:rPr>
            </w:pPr>
            <w:r w:rsidRPr="009052C3">
              <w:rPr>
                <w:rFonts w:cs="Arial"/>
                <w:b/>
              </w:rPr>
              <w:t>Functioning</w:t>
            </w:r>
          </w:p>
        </w:tc>
        <w:tc>
          <w:tcPr>
            <w:tcW w:w="1710" w:type="dxa"/>
          </w:tcPr>
          <w:p w:rsidR="009052C3" w:rsidRPr="009052C3" w:rsidRDefault="009052C3" w:rsidP="009052C3">
            <w:pPr>
              <w:jc w:val="center"/>
              <w:rPr>
                <w:rFonts w:cs="Arial"/>
              </w:rPr>
            </w:pPr>
            <w:r w:rsidRPr="009052C3">
              <w:rPr>
                <w:rFonts w:cs="Arial"/>
              </w:rPr>
              <w:t>95.0</w:t>
            </w:r>
          </w:p>
        </w:tc>
        <w:tc>
          <w:tcPr>
            <w:tcW w:w="1350" w:type="dxa"/>
          </w:tcPr>
          <w:p w:rsidR="009052C3" w:rsidRPr="009052C3" w:rsidRDefault="009052C3" w:rsidP="009052C3">
            <w:pPr>
              <w:jc w:val="center"/>
              <w:rPr>
                <w:rFonts w:cs="Arial"/>
              </w:rPr>
            </w:pPr>
            <w:r w:rsidRPr="009052C3">
              <w:rPr>
                <w:rFonts w:cs="Arial"/>
              </w:rPr>
              <w:t>92.5</w:t>
            </w:r>
          </w:p>
        </w:tc>
      </w:tr>
      <w:tr w:rsidR="009052C3" w:rsidRPr="009052C3" w:rsidTr="009052C3">
        <w:trPr>
          <w:trHeight w:val="288"/>
        </w:trPr>
        <w:tc>
          <w:tcPr>
            <w:tcW w:w="2898" w:type="dxa"/>
          </w:tcPr>
          <w:p w:rsidR="009052C3" w:rsidRPr="009052C3" w:rsidRDefault="009052C3" w:rsidP="009052C3">
            <w:pPr>
              <w:rPr>
                <w:rFonts w:cs="Arial"/>
                <w:b/>
              </w:rPr>
            </w:pPr>
            <w:r w:rsidRPr="009052C3">
              <w:rPr>
                <w:rFonts w:cs="Arial"/>
                <w:b/>
              </w:rPr>
              <w:t>Treatment Plan participation</w:t>
            </w:r>
          </w:p>
        </w:tc>
        <w:tc>
          <w:tcPr>
            <w:tcW w:w="1710" w:type="dxa"/>
          </w:tcPr>
          <w:p w:rsidR="009052C3" w:rsidRPr="009052C3" w:rsidRDefault="009052C3" w:rsidP="009052C3">
            <w:pPr>
              <w:jc w:val="center"/>
              <w:rPr>
                <w:rFonts w:cs="Arial"/>
              </w:rPr>
            </w:pPr>
            <w:r w:rsidRPr="009052C3">
              <w:rPr>
                <w:rFonts w:cs="Arial"/>
              </w:rPr>
              <w:t>80.0</w:t>
            </w:r>
          </w:p>
        </w:tc>
        <w:tc>
          <w:tcPr>
            <w:tcW w:w="1350" w:type="dxa"/>
          </w:tcPr>
          <w:p w:rsidR="009052C3" w:rsidRPr="009052C3" w:rsidRDefault="009052C3" w:rsidP="009052C3">
            <w:pPr>
              <w:jc w:val="center"/>
              <w:rPr>
                <w:rFonts w:cs="Arial"/>
              </w:rPr>
            </w:pPr>
            <w:r w:rsidRPr="009052C3">
              <w:rPr>
                <w:rFonts w:cs="Arial"/>
              </w:rPr>
              <w:t>90.4</w:t>
            </w:r>
          </w:p>
        </w:tc>
      </w:tr>
    </w:tbl>
    <w:p w:rsidR="009052C3" w:rsidRPr="009052C3" w:rsidRDefault="009052C3" w:rsidP="009052C3">
      <w:pPr>
        <w:spacing w:before="5"/>
        <w:rPr>
          <w:rFonts w:eastAsia="Arial" w:cs="Arial"/>
        </w:rPr>
      </w:pPr>
    </w:p>
    <w:p w:rsidR="009052C3" w:rsidRPr="009052C3" w:rsidRDefault="009052C3" w:rsidP="009052C3">
      <w:pPr>
        <w:spacing w:before="5"/>
        <w:rPr>
          <w:rFonts w:eastAsia="Arial" w:cs="Arial"/>
        </w:rPr>
      </w:pPr>
    </w:p>
    <w:p w:rsidR="009052C3" w:rsidRPr="009052C3" w:rsidRDefault="009052C3" w:rsidP="009052C3">
      <w:pPr>
        <w:spacing w:before="5"/>
        <w:rPr>
          <w:rFonts w:eastAsia="Arial" w:cs="Arial"/>
        </w:rPr>
      </w:pPr>
    </w:p>
    <w:p w:rsidR="009052C3" w:rsidRPr="009052C3" w:rsidRDefault="009052C3" w:rsidP="009052C3">
      <w:pPr>
        <w:spacing w:before="5"/>
        <w:rPr>
          <w:rFonts w:eastAsia="Arial" w:cs="Arial"/>
        </w:rPr>
      </w:pPr>
    </w:p>
    <w:p w:rsidR="009052C3" w:rsidRPr="009052C3" w:rsidRDefault="009052C3" w:rsidP="009052C3">
      <w:pPr>
        <w:spacing w:before="5"/>
        <w:rPr>
          <w:rFonts w:eastAsia="Arial" w:cs="Arial"/>
        </w:rPr>
      </w:pPr>
    </w:p>
    <w:p w:rsidR="009052C3" w:rsidRPr="009052C3" w:rsidRDefault="009052C3" w:rsidP="009052C3">
      <w:pPr>
        <w:spacing w:before="5"/>
        <w:rPr>
          <w:rFonts w:eastAsia="Arial" w:cs="Arial"/>
        </w:rPr>
      </w:pPr>
    </w:p>
    <w:p w:rsidR="009052C3" w:rsidRDefault="009052C3" w:rsidP="002C61B0">
      <w:pPr>
        <w:spacing w:after="0"/>
        <w:rPr>
          <w:rFonts w:eastAsia="Arial"/>
        </w:rPr>
      </w:pPr>
      <w:r w:rsidRPr="009052C3">
        <w:rPr>
          <w:rFonts w:eastAsia="Arial"/>
        </w:rPr>
        <w:t xml:space="preserve">Again, this "matched" survey cohort exhibits a very similar pattern as those described above: The most positive change was noted on the following evaluation domains: satisfaction, access to care, quality of care and </w:t>
      </w:r>
      <w:proofErr w:type="gramStart"/>
      <w:r w:rsidRPr="009052C3">
        <w:rPr>
          <w:rFonts w:eastAsia="Arial"/>
        </w:rPr>
        <w:t>in the area of</w:t>
      </w:r>
      <w:proofErr w:type="gramEnd"/>
      <w:r w:rsidRPr="009052C3">
        <w:rPr>
          <w:rFonts w:eastAsia="Arial"/>
        </w:rPr>
        <w:t xml:space="preserve"> participation in treatment planning. A small decrease in positive responses were also noted in the domains such as social connectedness, outcome and level of functioning.</w:t>
      </w:r>
    </w:p>
    <w:p w:rsidR="002C61B0" w:rsidRPr="009052C3" w:rsidRDefault="002C61B0" w:rsidP="002C61B0">
      <w:pPr>
        <w:spacing w:after="0"/>
        <w:rPr>
          <w:rFonts w:eastAsia="Arial"/>
        </w:rPr>
      </w:pPr>
    </w:p>
    <w:p w:rsidR="009052C3" w:rsidRDefault="009052C3" w:rsidP="002C61B0">
      <w:pPr>
        <w:pStyle w:val="BodyText"/>
        <w:spacing w:line="276" w:lineRule="auto"/>
        <w:ind w:left="0"/>
        <w:rPr>
          <w:rFonts w:asciiTheme="minorHAnsi" w:hAnsiTheme="minorHAnsi"/>
          <w:b/>
          <w:sz w:val="22"/>
          <w:szCs w:val="22"/>
        </w:rPr>
      </w:pPr>
      <w:r w:rsidRPr="009052C3">
        <w:rPr>
          <w:rFonts w:asciiTheme="minorHAnsi" w:hAnsiTheme="minorHAnsi"/>
          <w:b/>
          <w:sz w:val="22"/>
          <w:szCs w:val="22"/>
        </w:rPr>
        <w:t>Summary</w:t>
      </w:r>
    </w:p>
    <w:p w:rsidR="009A6CC6" w:rsidRPr="009052C3" w:rsidRDefault="009A6CC6" w:rsidP="002C61B0">
      <w:pPr>
        <w:pStyle w:val="BodyText"/>
        <w:spacing w:line="276" w:lineRule="auto"/>
        <w:ind w:left="0"/>
        <w:rPr>
          <w:rFonts w:asciiTheme="minorHAnsi" w:hAnsiTheme="minorHAnsi"/>
          <w:b/>
          <w:sz w:val="22"/>
          <w:szCs w:val="22"/>
        </w:rPr>
      </w:pPr>
    </w:p>
    <w:p w:rsidR="009052C3" w:rsidRPr="009052C3" w:rsidRDefault="009052C3" w:rsidP="002C61B0">
      <w:pPr>
        <w:pStyle w:val="BodyText"/>
        <w:spacing w:line="276" w:lineRule="auto"/>
        <w:ind w:left="0" w:right="121" w:firstLine="14"/>
        <w:rPr>
          <w:rFonts w:asciiTheme="minorHAnsi" w:hAnsiTheme="minorHAnsi"/>
          <w:sz w:val="22"/>
          <w:szCs w:val="22"/>
        </w:rPr>
      </w:pPr>
      <w:r w:rsidRPr="009052C3">
        <w:rPr>
          <w:rFonts w:asciiTheme="minorHAnsi" w:hAnsiTheme="minorHAnsi"/>
          <w:sz w:val="22"/>
          <w:szCs w:val="22"/>
        </w:rPr>
        <w:t xml:space="preserve">In summary, regardless of </w:t>
      </w:r>
      <w:r w:rsidR="002C61B0">
        <w:rPr>
          <w:rFonts w:asciiTheme="minorHAnsi" w:hAnsiTheme="minorHAnsi"/>
          <w:sz w:val="22"/>
          <w:szCs w:val="22"/>
        </w:rPr>
        <w:t xml:space="preserve">the </w:t>
      </w:r>
      <w:r w:rsidRPr="009052C3">
        <w:rPr>
          <w:rFonts w:asciiTheme="minorHAnsi" w:hAnsiTheme="minorHAnsi"/>
          <w:sz w:val="22"/>
          <w:szCs w:val="22"/>
        </w:rPr>
        <w:t>point in time</w:t>
      </w:r>
      <w:r w:rsidR="002C61B0">
        <w:rPr>
          <w:rFonts w:asciiTheme="minorHAnsi" w:hAnsiTheme="minorHAnsi"/>
          <w:sz w:val="22"/>
          <w:szCs w:val="22"/>
        </w:rPr>
        <w:t>,</w:t>
      </w:r>
      <w:r w:rsidRPr="009052C3">
        <w:rPr>
          <w:rFonts w:asciiTheme="minorHAnsi" w:hAnsiTheme="minorHAnsi"/>
          <w:sz w:val="22"/>
          <w:szCs w:val="22"/>
        </w:rPr>
        <w:t xml:space="preserve"> post transition, or whether the same individual complete</w:t>
      </w:r>
      <w:r w:rsidR="002C61B0">
        <w:rPr>
          <w:rFonts w:asciiTheme="minorHAnsi" w:hAnsiTheme="minorHAnsi"/>
          <w:sz w:val="22"/>
          <w:szCs w:val="22"/>
        </w:rPr>
        <w:t>s a</w:t>
      </w:r>
      <w:r w:rsidRPr="009052C3">
        <w:rPr>
          <w:rFonts w:asciiTheme="minorHAnsi" w:hAnsiTheme="minorHAnsi"/>
          <w:sz w:val="22"/>
          <w:szCs w:val="22"/>
        </w:rPr>
        <w:t xml:space="preserve"> survey at different points in time, Class Members more often evaluated satisfaction with treatment, access to treatment, quality of treatment and their ability to participate in their own treatment planning more positively post transition</w:t>
      </w:r>
      <w:r w:rsidR="0046146F">
        <w:rPr>
          <w:rFonts w:asciiTheme="minorHAnsi" w:hAnsiTheme="minorHAnsi"/>
          <w:sz w:val="22"/>
          <w:szCs w:val="22"/>
        </w:rPr>
        <w:t xml:space="preserve"> from the</w:t>
      </w:r>
      <w:r w:rsidR="0046146F" w:rsidRPr="0046146F">
        <w:rPr>
          <w:rFonts w:asciiTheme="minorHAnsi" w:hAnsiTheme="minorHAnsi"/>
          <w:sz w:val="22"/>
          <w:szCs w:val="22"/>
        </w:rPr>
        <w:t xml:space="preserve"> </w:t>
      </w:r>
      <w:r w:rsidR="0046146F">
        <w:rPr>
          <w:rFonts w:asciiTheme="minorHAnsi" w:hAnsiTheme="minorHAnsi"/>
          <w:sz w:val="22"/>
          <w:szCs w:val="22"/>
        </w:rPr>
        <w:t>SMHRF/</w:t>
      </w:r>
      <w:r w:rsidR="0046146F" w:rsidRPr="009052C3">
        <w:rPr>
          <w:rFonts w:asciiTheme="minorHAnsi" w:hAnsiTheme="minorHAnsi"/>
          <w:sz w:val="22"/>
          <w:szCs w:val="22"/>
        </w:rPr>
        <w:t>IMD</w:t>
      </w:r>
      <w:r w:rsidRPr="009052C3">
        <w:rPr>
          <w:rFonts w:asciiTheme="minorHAnsi" w:hAnsiTheme="minorHAnsi"/>
          <w:sz w:val="22"/>
          <w:szCs w:val="22"/>
        </w:rPr>
        <w:t xml:space="preserve">. </w:t>
      </w:r>
      <w:r w:rsidR="0046146F">
        <w:rPr>
          <w:rFonts w:asciiTheme="minorHAnsi" w:hAnsiTheme="minorHAnsi"/>
          <w:sz w:val="22"/>
          <w:szCs w:val="22"/>
        </w:rPr>
        <w:t xml:space="preserve"> </w:t>
      </w:r>
      <w:r w:rsidR="009A6CC6">
        <w:rPr>
          <w:rFonts w:asciiTheme="minorHAnsi" w:hAnsiTheme="minorHAnsi"/>
          <w:sz w:val="22"/>
          <w:szCs w:val="22"/>
        </w:rPr>
        <w:t>H</w:t>
      </w:r>
      <w:r w:rsidR="009A6CC6" w:rsidRPr="009052C3">
        <w:rPr>
          <w:rFonts w:asciiTheme="minorHAnsi" w:hAnsiTheme="minorHAnsi"/>
          <w:sz w:val="22"/>
          <w:szCs w:val="22"/>
        </w:rPr>
        <w:t>owever</w:t>
      </w:r>
      <w:r w:rsidR="009A6CC6">
        <w:rPr>
          <w:rFonts w:asciiTheme="minorHAnsi" w:hAnsiTheme="minorHAnsi"/>
          <w:sz w:val="22"/>
          <w:szCs w:val="22"/>
        </w:rPr>
        <w:t>,</w:t>
      </w:r>
      <w:r w:rsidR="009A6CC6" w:rsidRPr="009052C3">
        <w:rPr>
          <w:rFonts w:asciiTheme="minorHAnsi" w:hAnsiTheme="minorHAnsi"/>
          <w:sz w:val="22"/>
          <w:szCs w:val="22"/>
        </w:rPr>
        <w:t xml:space="preserve"> </w:t>
      </w:r>
      <w:r w:rsidRPr="009052C3">
        <w:rPr>
          <w:rFonts w:asciiTheme="minorHAnsi" w:hAnsiTheme="minorHAnsi"/>
          <w:sz w:val="22"/>
          <w:szCs w:val="22"/>
        </w:rPr>
        <w:t xml:space="preserve">Class Members generally evaluated treatment outcomes and functioning positively, showing less change across time. </w:t>
      </w:r>
      <w:r w:rsidR="009A6CC6">
        <w:rPr>
          <w:rFonts w:asciiTheme="minorHAnsi" w:hAnsiTheme="minorHAnsi"/>
          <w:sz w:val="22"/>
          <w:szCs w:val="22"/>
        </w:rPr>
        <w:t xml:space="preserve"> </w:t>
      </w:r>
      <w:r w:rsidRPr="009052C3">
        <w:rPr>
          <w:rFonts w:asciiTheme="minorHAnsi" w:hAnsiTheme="minorHAnsi"/>
          <w:sz w:val="22"/>
          <w:szCs w:val="22"/>
        </w:rPr>
        <w:t xml:space="preserve">Social Connectedness showed the least amount of change across time and at times </w:t>
      </w:r>
      <w:r w:rsidR="0046146F">
        <w:rPr>
          <w:rFonts w:asciiTheme="minorHAnsi" w:hAnsiTheme="minorHAnsi"/>
          <w:sz w:val="22"/>
          <w:szCs w:val="22"/>
        </w:rPr>
        <w:t xml:space="preserve">reflects </w:t>
      </w:r>
      <w:r w:rsidRPr="009052C3">
        <w:rPr>
          <w:rFonts w:asciiTheme="minorHAnsi" w:hAnsiTheme="minorHAnsi"/>
          <w:sz w:val="22"/>
          <w:szCs w:val="22"/>
        </w:rPr>
        <w:t xml:space="preserve">a minor decrease in positive responses. </w:t>
      </w:r>
    </w:p>
    <w:p w:rsidR="000D2C12" w:rsidRDefault="000D2C12" w:rsidP="00E00057">
      <w:pPr>
        <w:contextualSpacing/>
        <w:rPr>
          <w:rFonts w:cs="Times New Roman"/>
        </w:rPr>
      </w:pPr>
    </w:p>
    <w:p w:rsidR="00890731" w:rsidRPr="00F32EA1" w:rsidRDefault="00F9121D" w:rsidP="00F32EA1">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rPr>
      </w:pPr>
      <w:r>
        <w:rPr>
          <w:i/>
        </w:rPr>
        <w:t>Support</w:t>
      </w:r>
      <w:r w:rsidR="00673159">
        <w:rPr>
          <w:i/>
        </w:rPr>
        <w:t>ed</w:t>
      </w:r>
      <w:r>
        <w:rPr>
          <w:i/>
        </w:rPr>
        <w:t xml:space="preserve"> Employment – Individual Placement and Support</w:t>
      </w:r>
    </w:p>
    <w:p w:rsidR="00673159" w:rsidRPr="00194E43" w:rsidRDefault="00673159" w:rsidP="00673159">
      <w:pPr>
        <w:widowControl w:val="0"/>
        <w:spacing w:after="0"/>
      </w:pPr>
      <w:r w:rsidRPr="00194E43">
        <w:t xml:space="preserve">The evidence-based practice of Individual Placement and Support (IPS) Supported Employment has been on the forefront as a service/resource to </w:t>
      </w:r>
      <w:r w:rsidR="008335EB">
        <w:t>further a</w:t>
      </w:r>
      <w:r w:rsidR="008335EB" w:rsidRPr="00194E43">
        <w:t xml:space="preserve"> </w:t>
      </w:r>
      <w:r w:rsidRPr="00194E43">
        <w:t xml:space="preserve">full and productive recovery for individuals diagnosed with serious mental illness.   The following IPS data, was taken from the last IPS Supported Employment Consent Decree Counts Report dated June 30, 2018.  There has been </w:t>
      </w:r>
      <w:r w:rsidR="00BB5777">
        <w:t xml:space="preserve">a </w:t>
      </w:r>
      <w:r w:rsidRPr="00194E43">
        <w:t xml:space="preserve">total of 498 </w:t>
      </w:r>
      <w:r w:rsidRPr="00194E43">
        <w:rPr>
          <w:i/>
        </w:rPr>
        <w:t>Williams</w:t>
      </w:r>
      <w:r w:rsidRPr="00194E43">
        <w:t xml:space="preserve"> Class Members enroll</w:t>
      </w:r>
      <w:r w:rsidR="00F32EA1">
        <w:t xml:space="preserve">ed in IPS since July 1, 2012.  </w:t>
      </w:r>
      <w:r w:rsidRPr="00BB5777">
        <w:t xml:space="preserve">One hundred fifty-four (154) Class Members (31%) who received IPS Supported Employment </w:t>
      </w:r>
      <w:r w:rsidR="009C743F">
        <w:t>have</w:t>
      </w:r>
      <w:r w:rsidRPr="00BB5777">
        <w:t xml:space="preserve"> work</w:t>
      </w:r>
      <w:r w:rsidR="009C743F">
        <w:t>ed</w:t>
      </w:r>
      <w:r w:rsidR="00F32EA1">
        <w:t xml:space="preserve">.  </w:t>
      </w:r>
      <w:r w:rsidRPr="00194E43">
        <w:t xml:space="preserve">There are currently 143 </w:t>
      </w:r>
      <w:r w:rsidRPr="00194E43">
        <w:rPr>
          <w:i/>
        </w:rPr>
        <w:t>Williams</w:t>
      </w:r>
      <w:r w:rsidRPr="00194E43">
        <w:t xml:space="preserve"> Class Members enrolled</w:t>
      </w:r>
      <w:r w:rsidR="00F32EA1">
        <w:t xml:space="preserve"> in IPS Supported Employment. </w:t>
      </w:r>
      <w:r w:rsidRPr="00194E43">
        <w:t>Of this number, 50 Class Member</w:t>
      </w:r>
      <w:r w:rsidR="00F32EA1">
        <w:t xml:space="preserve">s (35%) are currently working. </w:t>
      </w:r>
      <w:r w:rsidRPr="00194E43">
        <w:t>The jobs held by the employed Class Members are part-time.  From January 1</w:t>
      </w:r>
      <w:r w:rsidR="00802D6E" w:rsidRPr="00194E43">
        <w:t>, 2018</w:t>
      </w:r>
      <w:r w:rsidRPr="00194E43">
        <w:t xml:space="preserve"> to June 30, 2018</w:t>
      </w:r>
      <w:r w:rsidR="00BB5777">
        <w:t>,</w:t>
      </w:r>
      <w:r w:rsidRPr="00194E43">
        <w:t xml:space="preserve"> there have been 27 new </w:t>
      </w:r>
      <w:r w:rsidR="00802D6E" w:rsidRPr="00194E43">
        <w:t xml:space="preserve">Class Members </w:t>
      </w:r>
      <w:r w:rsidRPr="00194E43">
        <w:t>enrolle</w:t>
      </w:r>
      <w:r w:rsidR="00802D6E" w:rsidRPr="00194E43">
        <w:t>d</w:t>
      </w:r>
      <w:r w:rsidR="00F32EA1">
        <w:t xml:space="preserve"> in IPS. </w:t>
      </w:r>
      <w:r w:rsidRPr="00194E43">
        <w:t xml:space="preserve">In FY 19, the IPS Trainer will </w:t>
      </w:r>
      <w:r w:rsidR="00802D6E" w:rsidRPr="00194E43">
        <w:t xml:space="preserve">begin to </w:t>
      </w:r>
      <w:r w:rsidRPr="00194E43">
        <w:t xml:space="preserve">capture data </w:t>
      </w:r>
      <w:r w:rsidR="00802D6E" w:rsidRPr="00194E43">
        <w:t xml:space="preserve">on </w:t>
      </w:r>
      <w:r w:rsidRPr="00194E43">
        <w:t xml:space="preserve">Williams Class Members who found jobs </w:t>
      </w:r>
      <w:r w:rsidR="00802D6E" w:rsidRPr="00194E43">
        <w:t>independent of the resources available through</w:t>
      </w:r>
      <w:r w:rsidRPr="00194E43">
        <w:t xml:space="preserve"> IPS</w:t>
      </w:r>
      <w:r w:rsidR="00BB5777">
        <w:t>/</w:t>
      </w:r>
      <w:r w:rsidRPr="00194E43">
        <w:t xml:space="preserve">Supported Employment services.  </w:t>
      </w:r>
      <w:r w:rsidR="008D66A8">
        <w:t xml:space="preserve"> There are 50 Class Members currently working.</w:t>
      </w:r>
    </w:p>
    <w:p w:rsidR="00802D6E" w:rsidRPr="00194E43" w:rsidRDefault="00802D6E" w:rsidP="00673159">
      <w:pPr>
        <w:widowControl w:val="0"/>
        <w:spacing w:after="0"/>
      </w:pPr>
    </w:p>
    <w:p w:rsidR="00802D6E" w:rsidRPr="00194E43" w:rsidRDefault="00802D6E" w:rsidP="00802D6E">
      <w:pPr>
        <w:widowControl w:val="0"/>
        <w:spacing w:after="0"/>
      </w:pPr>
      <w:r w:rsidRPr="00194E43">
        <w:t xml:space="preserve">Table </w:t>
      </w:r>
      <w:r w:rsidR="00F8468E">
        <w:t>T</w:t>
      </w:r>
      <w:r w:rsidRPr="00194E43">
        <w:t xml:space="preserve"> reflects the ‘number of days’ of job tenure for the 70 Class Members who worked in mainstream competitive work experiences in Fiscal Year 2018.  </w:t>
      </w:r>
    </w:p>
    <w:p w:rsidR="00802D6E" w:rsidRPr="00194E43" w:rsidRDefault="00802D6E" w:rsidP="00802D6E">
      <w:pPr>
        <w:widowControl w:val="0"/>
        <w:spacing w:after="0"/>
      </w:pPr>
      <w:r w:rsidRPr="00194E43">
        <w:t>(Note: The IPS data system only tracks persons while they are receiving IPS-specific services and supports.  Once transitioned off the IPS caseload successfully and stably employed, their working activities are no longer tracked in the IPS data system.  This job tenure data reflects the number of days worked while on the active IPS caseload.)</w:t>
      </w:r>
    </w:p>
    <w:p w:rsidR="00802D6E" w:rsidRPr="00194E43" w:rsidRDefault="00802D6E" w:rsidP="00802D6E">
      <w:pPr>
        <w:widowControl w:val="0"/>
        <w:spacing w:after="0" w:line="240" w:lineRule="auto"/>
        <w:jc w:val="center"/>
        <w:rPr>
          <w:b/>
          <w:sz w:val="24"/>
          <w:szCs w:val="24"/>
        </w:rPr>
      </w:pPr>
      <w:r w:rsidRPr="00194E43">
        <w:rPr>
          <w:b/>
          <w:sz w:val="24"/>
          <w:szCs w:val="24"/>
        </w:rPr>
        <w:t xml:space="preserve">Table </w:t>
      </w:r>
      <w:r w:rsidR="00F8468E">
        <w:rPr>
          <w:b/>
          <w:sz w:val="24"/>
          <w:szCs w:val="24"/>
        </w:rPr>
        <w:t xml:space="preserve">T </w:t>
      </w:r>
    </w:p>
    <w:tbl>
      <w:tblPr>
        <w:tblStyle w:val="TableGrid"/>
        <w:tblW w:w="0" w:type="auto"/>
        <w:jc w:val="center"/>
        <w:tblBorders>
          <w:left w:val="none" w:sz="0" w:space="0" w:color="auto"/>
        </w:tblBorders>
        <w:tblLook w:val="04A0" w:firstRow="1" w:lastRow="0" w:firstColumn="1" w:lastColumn="0" w:noHBand="0" w:noVBand="1"/>
      </w:tblPr>
      <w:tblGrid>
        <w:gridCol w:w="1239"/>
        <w:gridCol w:w="1370"/>
        <w:gridCol w:w="1617"/>
        <w:gridCol w:w="1529"/>
        <w:gridCol w:w="1796"/>
        <w:gridCol w:w="1799"/>
      </w:tblGrid>
      <w:tr w:rsidR="00802D6E" w:rsidRPr="00200D00" w:rsidTr="00A036D4">
        <w:trPr>
          <w:trHeight w:val="485"/>
          <w:jc w:val="center"/>
        </w:trPr>
        <w:tc>
          <w:tcPr>
            <w:tcW w:w="1239" w:type="dxa"/>
            <w:tcBorders>
              <w:top w:val="single" w:sz="4" w:space="0" w:color="auto"/>
              <w:left w:val="single" w:sz="4" w:space="0" w:color="auto"/>
              <w:bottom w:val="single" w:sz="4" w:space="0" w:color="auto"/>
              <w:right w:val="single" w:sz="4" w:space="0" w:color="auto"/>
            </w:tcBorders>
            <w:hideMark/>
          </w:tcPr>
          <w:p w:rsidR="00802D6E" w:rsidRPr="00200D00" w:rsidRDefault="00802D6E" w:rsidP="00A036D4">
            <w:pPr>
              <w:widowControl w:val="0"/>
              <w:tabs>
                <w:tab w:val="left" w:pos="601"/>
              </w:tabs>
              <w:spacing w:line="276" w:lineRule="auto"/>
              <w:rPr>
                <w:color w:val="000000"/>
                <w:sz w:val="24"/>
                <w:szCs w:val="24"/>
              </w:rPr>
            </w:pPr>
            <w:r w:rsidRPr="00200D00">
              <w:rPr>
                <w:color w:val="000000"/>
                <w:sz w:val="24"/>
                <w:szCs w:val="24"/>
              </w:rPr>
              <w:tab/>
            </w:r>
          </w:p>
        </w:tc>
        <w:tc>
          <w:tcPr>
            <w:tcW w:w="8111" w:type="dxa"/>
            <w:gridSpan w:val="5"/>
            <w:tcBorders>
              <w:top w:val="single" w:sz="4" w:space="0" w:color="auto"/>
              <w:left w:val="single" w:sz="4" w:space="0" w:color="auto"/>
              <w:bottom w:val="single" w:sz="4" w:space="0" w:color="auto"/>
              <w:right w:val="single" w:sz="4" w:space="0" w:color="auto"/>
            </w:tcBorders>
            <w:hideMark/>
          </w:tcPr>
          <w:p w:rsidR="00802D6E" w:rsidRPr="00200D00" w:rsidRDefault="00802D6E" w:rsidP="00A036D4">
            <w:pPr>
              <w:widowControl w:val="0"/>
              <w:spacing w:line="276" w:lineRule="auto"/>
              <w:jc w:val="center"/>
              <w:rPr>
                <w:b/>
                <w:color w:val="000000"/>
                <w:sz w:val="24"/>
                <w:szCs w:val="24"/>
              </w:rPr>
            </w:pPr>
            <w:r w:rsidRPr="00200D00">
              <w:rPr>
                <w:b/>
                <w:color w:val="000000"/>
                <w:sz w:val="24"/>
                <w:szCs w:val="24"/>
              </w:rPr>
              <w:t>Job Tenure</w:t>
            </w:r>
            <w:r>
              <w:rPr>
                <w:b/>
                <w:color w:val="000000"/>
                <w:sz w:val="24"/>
                <w:szCs w:val="24"/>
              </w:rPr>
              <w:t>*</w:t>
            </w:r>
          </w:p>
        </w:tc>
      </w:tr>
      <w:tr w:rsidR="00802D6E" w:rsidRPr="00200D00" w:rsidTr="00A036D4">
        <w:trPr>
          <w:trHeight w:val="595"/>
          <w:jc w:val="center"/>
        </w:trPr>
        <w:tc>
          <w:tcPr>
            <w:tcW w:w="1239" w:type="dxa"/>
            <w:tcBorders>
              <w:top w:val="single" w:sz="4" w:space="0" w:color="auto"/>
              <w:left w:val="single" w:sz="4" w:space="0" w:color="auto"/>
              <w:bottom w:val="single" w:sz="4" w:space="0" w:color="auto"/>
              <w:right w:val="single" w:sz="4" w:space="0" w:color="auto"/>
            </w:tcBorders>
          </w:tcPr>
          <w:p w:rsidR="00802D6E" w:rsidRPr="00194E43" w:rsidRDefault="00802D6E" w:rsidP="00A036D4">
            <w:pPr>
              <w:widowControl w:val="0"/>
              <w:spacing w:line="276" w:lineRule="auto"/>
              <w:rPr>
                <w:color w:val="000000"/>
              </w:rPr>
            </w:pPr>
          </w:p>
        </w:tc>
        <w:tc>
          <w:tcPr>
            <w:tcW w:w="1370"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rPr>
                <w:color w:val="000000"/>
              </w:rPr>
            </w:pPr>
            <w:r w:rsidRPr="00194E43">
              <w:rPr>
                <w:color w:val="000000"/>
              </w:rPr>
              <w:t>30 days or less</w:t>
            </w:r>
          </w:p>
        </w:tc>
        <w:tc>
          <w:tcPr>
            <w:tcW w:w="1617"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rPr>
                <w:color w:val="000000"/>
              </w:rPr>
            </w:pPr>
            <w:r w:rsidRPr="00194E43">
              <w:rPr>
                <w:color w:val="000000"/>
              </w:rPr>
              <w:t>1 – 3 months</w:t>
            </w:r>
          </w:p>
        </w:tc>
        <w:tc>
          <w:tcPr>
            <w:tcW w:w="1529"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rPr>
                <w:color w:val="000000"/>
              </w:rPr>
            </w:pPr>
            <w:r w:rsidRPr="00194E43">
              <w:rPr>
                <w:color w:val="000000"/>
              </w:rPr>
              <w:t>4 – 7 months</w:t>
            </w:r>
          </w:p>
        </w:tc>
        <w:tc>
          <w:tcPr>
            <w:tcW w:w="1796"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rPr>
                <w:color w:val="000000"/>
              </w:rPr>
            </w:pPr>
            <w:r w:rsidRPr="00194E43">
              <w:rPr>
                <w:color w:val="000000"/>
              </w:rPr>
              <w:t>8 – 11 months</w:t>
            </w:r>
          </w:p>
        </w:tc>
        <w:tc>
          <w:tcPr>
            <w:tcW w:w="1799"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rPr>
                <w:color w:val="000000"/>
              </w:rPr>
            </w:pPr>
            <w:r w:rsidRPr="00194E43">
              <w:rPr>
                <w:color w:val="000000"/>
              </w:rPr>
              <w:t xml:space="preserve">over 11 months  </w:t>
            </w:r>
          </w:p>
        </w:tc>
      </w:tr>
      <w:tr w:rsidR="00802D6E" w:rsidRPr="00200D00" w:rsidTr="00A036D4">
        <w:trPr>
          <w:trHeight w:val="1367"/>
          <w:jc w:val="center"/>
        </w:trPr>
        <w:tc>
          <w:tcPr>
            <w:tcW w:w="1239"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rPr>
                <w:b/>
                <w:color w:val="000000"/>
              </w:rPr>
            </w:pPr>
            <w:r w:rsidRPr="00194E43">
              <w:rPr>
                <w:b/>
                <w:color w:val="000000"/>
              </w:rPr>
              <w:t># of Jobs held by Class Members</w:t>
            </w:r>
          </w:p>
        </w:tc>
        <w:tc>
          <w:tcPr>
            <w:tcW w:w="1370"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jc w:val="center"/>
              <w:rPr>
                <w:color w:val="000000"/>
              </w:rPr>
            </w:pPr>
            <w:r w:rsidRPr="00194E43">
              <w:rPr>
                <w:color w:val="000000"/>
              </w:rPr>
              <w:t>5</w:t>
            </w:r>
          </w:p>
        </w:tc>
        <w:tc>
          <w:tcPr>
            <w:tcW w:w="1617"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jc w:val="center"/>
              <w:rPr>
                <w:color w:val="000000"/>
              </w:rPr>
            </w:pPr>
            <w:r w:rsidRPr="00194E43">
              <w:rPr>
                <w:color w:val="000000"/>
              </w:rPr>
              <w:t>8</w:t>
            </w:r>
          </w:p>
        </w:tc>
        <w:tc>
          <w:tcPr>
            <w:tcW w:w="1529"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jc w:val="center"/>
              <w:rPr>
                <w:color w:val="000000"/>
              </w:rPr>
            </w:pPr>
            <w:r w:rsidRPr="00194E43">
              <w:rPr>
                <w:color w:val="000000"/>
              </w:rPr>
              <w:t>15</w:t>
            </w:r>
          </w:p>
        </w:tc>
        <w:tc>
          <w:tcPr>
            <w:tcW w:w="1796"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rPr>
                <w:color w:val="000000"/>
              </w:rPr>
            </w:pPr>
            <w:r w:rsidRPr="00194E43">
              <w:rPr>
                <w:color w:val="000000"/>
              </w:rPr>
              <w:t xml:space="preserve">        9</w:t>
            </w:r>
          </w:p>
        </w:tc>
        <w:tc>
          <w:tcPr>
            <w:tcW w:w="1799" w:type="dxa"/>
            <w:tcBorders>
              <w:top w:val="single" w:sz="4" w:space="0" w:color="auto"/>
              <w:left w:val="single" w:sz="4" w:space="0" w:color="auto"/>
              <w:bottom w:val="single" w:sz="4" w:space="0" w:color="auto"/>
              <w:right w:val="single" w:sz="4" w:space="0" w:color="auto"/>
            </w:tcBorders>
            <w:hideMark/>
          </w:tcPr>
          <w:p w:rsidR="00802D6E" w:rsidRPr="00194E43" w:rsidRDefault="00802D6E" w:rsidP="00A036D4">
            <w:pPr>
              <w:widowControl w:val="0"/>
              <w:spacing w:line="276" w:lineRule="auto"/>
              <w:jc w:val="center"/>
              <w:rPr>
                <w:color w:val="000000"/>
              </w:rPr>
            </w:pPr>
            <w:r w:rsidRPr="00194E43">
              <w:rPr>
                <w:color w:val="000000"/>
              </w:rPr>
              <w:t>42</w:t>
            </w:r>
          </w:p>
        </w:tc>
      </w:tr>
    </w:tbl>
    <w:p w:rsidR="00802D6E" w:rsidRPr="00885FD5" w:rsidRDefault="00802D6E" w:rsidP="00802D6E">
      <w:pPr>
        <w:spacing w:after="0" w:line="240" w:lineRule="auto"/>
        <w:rPr>
          <w:color w:val="000000"/>
          <w:sz w:val="16"/>
          <w:szCs w:val="16"/>
        </w:rPr>
      </w:pPr>
    </w:p>
    <w:p w:rsidR="00802D6E" w:rsidRDefault="00802D6E" w:rsidP="00802D6E">
      <w:pPr>
        <w:spacing w:after="0" w:line="240" w:lineRule="auto"/>
        <w:rPr>
          <w:color w:val="000000"/>
        </w:rPr>
      </w:pPr>
      <w:r w:rsidRPr="00194E43">
        <w:rPr>
          <w:color w:val="000000"/>
        </w:rPr>
        <w:t>*(please note:  in the above table, 9 of the class members held 2 jobs)</w:t>
      </w:r>
    </w:p>
    <w:p w:rsidR="000D2C12" w:rsidRDefault="000D2C12" w:rsidP="00802D6E">
      <w:pPr>
        <w:spacing w:after="0" w:line="240" w:lineRule="auto"/>
        <w:rPr>
          <w:color w:val="000000"/>
        </w:rPr>
      </w:pPr>
    </w:p>
    <w:p w:rsidR="00A036D4" w:rsidRDefault="00A036D4" w:rsidP="00A036D4">
      <w:pPr>
        <w:rPr>
          <w:b/>
          <w:sz w:val="24"/>
          <w:szCs w:val="24"/>
          <w:u w:val="single"/>
        </w:rPr>
      </w:pPr>
      <w:r w:rsidRPr="00F76D1C">
        <w:rPr>
          <w:b/>
          <w:sz w:val="24"/>
          <w:szCs w:val="24"/>
          <w:u w:val="single"/>
        </w:rPr>
        <w:t xml:space="preserve">IPS Supported Employment Data Points for Enrolled and Working </w:t>
      </w:r>
      <w:r w:rsidRPr="00CC5C2D">
        <w:rPr>
          <w:b/>
          <w:i/>
          <w:sz w:val="24"/>
          <w:szCs w:val="24"/>
          <w:u w:val="single"/>
        </w:rPr>
        <w:t xml:space="preserve">Williams </w:t>
      </w:r>
      <w:r w:rsidRPr="00F76D1C">
        <w:rPr>
          <w:b/>
          <w:sz w:val="24"/>
          <w:szCs w:val="24"/>
          <w:u w:val="single"/>
        </w:rPr>
        <w:t>Class Members</w:t>
      </w:r>
    </w:p>
    <w:tbl>
      <w:tblPr>
        <w:tblStyle w:val="TableGrid"/>
        <w:tblW w:w="0" w:type="auto"/>
        <w:tblInd w:w="2515" w:type="dxa"/>
        <w:tblLook w:val="04A0" w:firstRow="1" w:lastRow="0" w:firstColumn="1" w:lastColumn="0" w:noHBand="0" w:noVBand="1"/>
      </w:tblPr>
      <w:tblGrid>
        <w:gridCol w:w="3240"/>
        <w:gridCol w:w="2970"/>
        <w:gridCol w:w="3240"/>
      </w:tblGrid>
      <w:tr w:rsidR="00364C21" w:rsidTr="00364C21">
        <w:tc>
          <w:tcPr>
            <w:tcW w:w="3240" w:type="dxa"/>
          </w:tcPr>
          <w:p w:rsidR="00364C21" w:rsidRDefault="00364C21" w:rsidP="00A036D4">
            <w:pPr>
              <w:rPr>
                <w:b/>
                <w:sz w:val="24"/>
                <w:szCs w:val="24"/>
                <w:u w:val="single"/>
              </w:rPr>
            </w:pPr>
          </w:p>
        </w:tc>
        <w:tc>
          <w:tcPr>
            <w:tcW w:w="2970" w:type="dxa"/>
            <w:shd w:val="clear" w:color="auto" w:fill="DDD9C3" w:themeFill="background2" w:themeFillShade="E6"/>
          </w:tcPr>
          <w:p w:rsidR="00364C21" w:rsidRPr="00364C21" w:rsidRDefault="00364C21" w:rsidP="00364C21">
            <w:pPr>
              <w:jc w:val="center"/>
              <w:rPr>
                <w:sz w:val="24"/>
                <w:szCs w:val="24"/>
              </w:rPr>
            </w:pPr>
            <w:r w:rsidRPr="00364C21">
              <w:rPr>
                <w:sz w:val="24"/>
                <w:szCs w:val="24"/>
              </w:rPr>
              <w:t>Number enrolled</w:t>
            </w:r>
          </w:p>
        </w:tc>
        <w:tc>
          <w:tcPr>
            <w:tcW w:w="3240" w:type="dxa"/>
            <w:shd w:val="clear" w:color="auto" w:fill="DDD9C3" w:themeFill="background2" w:themeFillShade="E6"/>
          </w:tcPr>
          <w:p w:rsidR="00364C21" w:rsidRPr="00364C21" w:rsidRDefault="00364C21" w:rsidP="00364C21">
            <w:pPr>
              <w:jc w:val="center"/>
              <w:rPr>
                <w:sz w:val="24"/>
                <w:szCs w:val="24"/>
              </w:rPr>
            </w:pPr>
            <w:r w:rsidRPr="00364C21">
              <w:rPr>
                <w:sz w:val="24"/>
                <w:szCs w:val="24"/>
              </w:rPr>
              <w:t xml:space="preserve">Number </w:t>
            </w:r>
            <w:r>
              <w:rPr>
                <w:sz w:val="24"/>
                <w:szCs w:val="24"/>
              </w:rPr>
              <w:t>employed</w:t>
            </w:r>
          </w:p>
        </w:tc>
      </w:tr>
      <w:tr w:rsidR="00364C21" w:rsidTr="00364C21">
        <w:tc>
          <w:tcPr>
            <w:tcW w:w="3240" w:type="dxa"/>
          </w:tcPr>
          <w:p w:rsidR="00364C21" w:rsidRPr="00194E43" w:rsidRDefault="00364C21" w:rsidP="00A036D4">
            <w:r w:rsidRPr="002819B5">
              <w:t>0</w:t>
            </w:r>
            <w:r w:rsidR="002819B5">
              <w:t>7</w:t>
            </w:r>
            <w:r w:rsidRPr="00194E43">
              <w:t xml:space="preserve">/01/2017 – 06/30/3018 </w:t>
            </w:r>
          </w:p>
        </w:tc>
        <w:tc>
          <w:tcPr>
            <w:tcW w:w="2970" w:type="dxa"/>
          </w:tcPr>
          <w:p w:rsidR="00364C21" w:rsidRPr="00194E43" w:rsidRDefault="00364C21" w:rsidP="00364C21">
            <w:pPr>
              <w:jc w:val="center"/>
            </w:pPr>
            <w:r w:rsidRPr="00194E43">
              <w:t>60</w:t>
            </w:r>
          </w:p>
        </w:tc>
        <w:tc>
          <w:tcPr>
            <w:tcW w:w="3240" w:type="dxa"/>
          </w:tcPr>
          <w:p w:rsidR="00364C21" w:rsidRPr="00194E43" w:rsidRDefault="00364C21" w:rsidP="00364C21">
            <w:pPr>
              <w:jc w:val="center"/>
            </w:pPr>
            <w:r w:rsidRPr="00194E43">
              <w:t>70</w:t>
            </w:r>
          </w:p>
        </w:tc>
      </w:tr>
      <w:tr w:rsidR="00364C21" w:rsidTr="00364C21">
        <w:tc>
          <w:tcPr>
            <w:tcW w:w="3240" w:type="dxa"/>
          </w:tcPr>
          <w:p w:rsidR="00364C21" w:rsidRPr="00194E43" w:rsidRDefault="00364C21" w:rsidP="00A036D4">
            <w:pPr>
              <w:rPr>
                <w:b/>
                <w:u w:val="single"/>
              </w:rPr>
            </w:pPr>
          </w:p>
        </w:tc>
        <w:tc>
          <w:tcPr>
            <w:tcW w:w="2970" w:type="dxa"/>
          </w:tcPr>
          <w:p w:rsidR="00364C21" w:rsidRPr="00194E43" w:rsidRDefault="00364C21" w:rsidP="00364C21">
            <w:pPr>
              <w:jc w:val="center"/>
            </w:pPr>
          </w:p>
        </w:tc>
        <w:tc>
          <w:tcPr>
            <w:tcW w:w="3240" w:type="dxa"/>
          </w:tcPr>
          <w:p w:rsidR="00364C21" w:rsidRPr="00194E43" w:rsidRDefault="00364C21" w:rsidP="00364C21">
            <w:pPr>
              <w:jc w:val="center"/>
            </w:pPr>
          </w:p>
        </w:tc>
      </w:tr>
      <w:tr w:rsidR="00364C21" w:rsidTr="00364C21">
        <w:tc>
          <w:tcPr>
            <w:tcW w:w="3240" w:type="dxa"/>
          </w:tcPr>
          <w:p w:rsidR="00364C21" w:rsidRPr="00194E43" w:rsidRDefault="00364C21" w:rsidP="00A036D4">
            <w:r w:rsidRPr="00194E43">
              <w:t>01/01/2018 - 06/30/2018</w:t>
            </w:r>
          </w:p>
        </w:tc>
        <w:tc>
          <w:tcPr>
            <w:tcW w:w="2970" w:type="dxa"/>
          </w:tcPr>
          <w:p w:rsidR="00364C21" w:rsidRPr="00194E43" w:rsidRDefault="00364C21" w:rsidP="00364C21">
            <w:pPr>
              <w:jc w:val="center"/>
            </w:pPr>
            <w:r w:rsidRPr="00194E43">
              <w:t>27</w:t>
            </w:r>
          </w:p>
        </w:tc>
        <w:tc>
          <w:tcPr>
            <w:tcW w:w="3240" w:type="dxa"/>
          </w:tcPr>
          <w:p w:rsidR="00364C21" w:rsidRPr="00194E43" w:rsidRDefault="00364C21" w:rsidP="00364C21">
            <w:pPr>
              <w:jc w:val="center"/>
            </w:pPr>
            <w:r w:rsidRPr="00194E43">
              <w:t>7</w:t>
            </w:r>
          </w:p>
        </w:tc>
      </w:tr>
    </w:tbl>
    <w:p w:rsidR="00364C21" w:rsidRPr="00EF46A7" w:rsidRDefault="008D66A8" w:rsidP="00364C21">
      <w:pPr>
        <w:spacing w:after="0" w:line="240" w:lineRule="auto"/>
        <w:rPr>
          <w:sz w:val="24"/>
          <w:szCs w:val="24"/>
          <w:u w:val="single"/>
        </w:rPr>
      </w:pPr>
      <w:r w:rsidRPr="00EF46A7">
        <w:rPr>
          <w:sz w:val="24"/>
          <w:szCs w:val="24"/>
          <w:u w:val="single"/>
        </w:rPr>
        <w:t xml:space="preserve">The number </w:t>
      </w:r>
      <w:r w:rsidR="00330236">
        <w:rPr>
          <w:sz w:val="24"/>
          <w:szCs w:val="24"/>
          <w:u w:val="single"/>
        </w:rPr>
        <w:t>employed</w:t>
      </w:r>
      <w:r w:rsidRPr="00EF46A7">
        <w:rPr>
          <w:sz w:val="24"/>
          <w:szCs w:val="24"/>
          <w:u w:val="single"/>
        </w:rPr>
        <w:t xml:space="preserve"> is higher than the number enrolled </w:t>
      </w:r>
      <w:r w:rsidR="00330236">
        <w:rPr>
          <w:sz w:val="24"/>
          <w:szCs w:val="24"/>
          <w:u w:val="single"/>
        </w:rPr>
        <w:t>during</w:t>
      </w:r>
      <w:r w:rsidRPr="00EF46A7">
        <w:rPr>
          <w:sz w:val="24"/>
          <w:szCs w:val="24"/>
          <w:u w:val="single"/>
        </w:rPr>
        <w:t xml:space="preserve"> th</w:t>
      </w:r>
      <w:r w:rsidR="00330236">
        <w:rPr>
          <w:sz w:val="24"/>
          <w:szCs w:val="24"/>
          <w:u w:val="single"/>
        </w:rPr>
        <w:t>is</w:t>
      </w:r>
      <w:r w:rsidRPr="00EF46A7">
        <w:rPr>
          <w:sz w:val="24"/>
          <w:szCs w:val="24"/>
          <w:u w:val="single"/>
        </w:rPr>
        <w:t xml:space="preserve"> period because it </w:t>
      </w:r>
      <w:r w:rsidR="00330236">
        <w:rPr>
          <w:sz w:val="24"/>
          <w:szCs w:val="24"/>
          <w:u w:val="single"/>
        </w:rPr>
        <w:t>reflects</w:t>
      </w:r>
      <w:r w:rsidRPr="00EF46A7">
        <w:rPr>
          <w:sz w:val="24"/>
          <w:szCs w:val="24"/>
          <w:u w:val="single"/>
        </w:rPr>
        <w:t xml:space="preserve"> Class Members who were enrolled prior to the specific</w:t>
      </w:r>
      <w:r w:rsidR="00EF46A7">
        <w:rPr>
          <w:sz w:val="24"/>
          <w:szCs w:val="24"/>
          <w:u w:val="single"/>
        </w:rPr>
        <w:t xml:space="preserve"> </w:t>
      </w:r>
      <w:proofErr w:type="gramStart"/>
      <w:r w:rsidR="00EF46A7">
        <w:rPr>
          <w:sz w:val="24"/>
          <w:szCs w:val="24"/>
          <w:u w:val="single"/>
        </w:rPr>
        <w:t>time</w:t>
      </w:r>
      <w:r w:rsidRPr="00EF46A7">
        <w:rPr>
          <w:sz w:val="24"/>
          <w:szCs w:val="24"/>
          <w:u w:val="single"/>
        </w:rPr>
        <w:t xml:space="preserve"> period</w:t>
      </w:r>
      <w:proofErr w:type="gramEnd"/>
    </w:p>
    <w:p w:rsidR="005852A1" w:rsidRPr="005852A1" w:rsidRDefault="005852A1" w:rsidP="005852A1">
      <w:pPr>
        <w:widowControl w:val="0"/>
        <w:spacing w:after="0"/>
        <w:rPr>
          <w:color w:val="000000"/>
        </w:rPr>
      </w:pPr>
      <w:r w:rsidRPr="005852A1">
        <w:rPr>
          <w:color w:val="000000"/>
        </w:rPr>
        <w:t xml:space="preserve">It is a normal part of the IPS Supported Employment model for individuals to lose jobs in the process.  One core principle is that job loss is a learning event and not a reason to discontinue program engagement.  When there is job loss, the individual and the employment specialist work together to determine what worked well and what did not. This collaboration is incorporated into lessons learned and in developing a correction plan.  Individuals who have experienced job loss are immediately supported in finding other employment.  </w:t>
      </w:r>
    </w:p>
    <w:p w:rsidR="005852A1" w:rsidRPr="005852A1" w:rsidRDefault="005852A1" w:rsidP="005852A1">
      <w:pPr>
        <w:widowControl w:val="0"/>
        <w:spacing w:after="0"/>
        <w:rPr>
          <w:color w:val="000000"/>
        </w:rPr>
      </w:pPr>
    </w:p>
    <w:p w:rsidR="005852A1" w:rsidRPr="005852A1" w:rsidRDefault="005852A1" w:rsidP="005852A1">
      <w:pPr>
        <w:widowControl w:val="0"/>
        <w:spacing w:after="0"/>
        <w:rPr>
          <w:color w:val="000000"/>
        </w:rPr>
      </w:pPr>
      <w:r>
        <w:rPr>
          <w:color w:val="000000"/>
        </w:rPr>
        <w:t>During this reporting period, t</w:t>
      </w:r>
      <w:r w:rsidRPr="005852A1">
        <w:rPr>
          <w:color w:val="000000"/>
        </w:rPr>
        <w:t>he project manager/employment trainer has been implement</w:t>
      </w:r>
      <w:r w:rsidR="00FD68A7">
        <w:rPr>
          <w:color w:val="000000"/>
        </w:rPr>
        <w:t>ing</w:t>
      </w:r>
      <w:r w:rsidRPr="005852A1">
        <w:rPr>
          <w:color w:val="000000"/>
        </w:rPr>
        <w:t xml:space="preserve"> employment action plan strategies.  These activities include the following: </w:t>
      </w:r>
    </w:p>
    <w:p w:rsidR="005852A1" w:rsidRPr="005852A1" w:rsidRDefault="005852A1" w:rsidP="005852A1">
      <w:pPr>
        <w:pStyle w:val="NoSpacing"/>
        <w:spacing w:line="276" w:lineRule="auto"/>
      </w:pPr>
    </w:p>
    <w:p w:rsidR="005852A1" w:rsidRPr="005852A1" w:rsidRDefault="005852A1" w:rsidP="005852A1">
      <w:pPr>
        <w:pStyle w:val="NoSpacing"/>
        <w:numPr>
          <w:ilvl w:val="0"/>
          <w:numId w:val="11"/>
        </w:numPr>
        <w:spacing w:line="276" w:lineRule="auto"/>
      </w:pPr>
      <w:r w:rsidRPr="005852A1">
        <w:t xml:space="preserve">Meeting with Community Mental Health Centers that do not currently provide IPS Supported Employment Services to encourage the </w:t>
      </w:r>
      <w:r>
        <w:t>develop</w:t>
      </w:r>
      <w:r w:rsidR="00282227">
        <w:t>ment</w:t>
      </w:r>
      <w:r>
        <w:t xml:space="preserve"> and </w:t>
      </w:r>
      <w:r w:rsidRPr="005852A1">
        <w:t>implement</w:t>
      </w:r>
      <w:r w:rsidR="00282227">
        <w:t>ation</w:t>
      </w:r>
      <w:r w:rsidRPr="005852A1">
        <w:t xml:space="preserve"> IPS </w:t>
      </w:r>
      <w:r>
        <w:t>for</w:t>
      </w:r>
      <w:r w:rsidRPr="005852A1">
        <w:t xml:space="preserve"> Class Members who have an employment goal </w:t>
      </w:r>
      <w:r>
        <w:t>and</w:t>
      </w:r>
      <w:r w:rsidRPr="005852A1">
        <w:t xml:space="preserve"> support</w:t>
      </w:r>
      <w:r>
        <w:t xml:space="preserve"> this desire.</w:t>
      </w:r>
    </w:p>
    <w:p w:rsidR="005852A1" w:rsidRPr="00F32EA1" w:rsidRDefault="005852A1" w:rsidP="00F32EA1">
      <w:pPr>
        <w:pStyle w:val="NoSpacing"/>
        <w:numPr>
          <w:ilvl w:val="0"/>
          <w:numId w:val="11"/>
        </w:numPr>
        <w:spacing w:line="276" w:lineRule="auto"/>
      </w:pPr>
      <w:r>
        <w:t>V</w:t>
      </w:r>
      <w:r w:rsidRPr="005852A1">
        <w:t>isit</w:t>
      </w:r>
      <w:r>
        <w:t>s to</w:t>
      </w:r>
      <w:r w:rsidRPr="005852A1">
        <w:t xml:space="preserve"> all 18 </w:t>
      </w:r>
      <w:r w:rsidRPr="005852A1">
        <w:rPr>
          <w:i/>
        </w:rPr>
        <w:t xml:space="preserve">Williams </w:t>
      </w:r>
      <w:r w:rsidRPr="005852A1">
        <w:t xml:space="preserve">and </w:t>
      </w:r>
      <w:r w:rsidRPr="005852A1">
        <w:rPr>
          <w:i/>
        </w:rPr>
        <w:t>Colbert</w:t>
      </w:r>
      <w:r w:rsidRPr="005852A1">
        <w:t xml:space="preserve"> Drop-In Centers to promote the message </w:t>
      </w:r>
      <w:r>
        <w:t>of</w:t>
      </w:r>
      <w:r w:rsidRPr="005852A1">
        <w:t xml:space="preserve"> “Keep</w:t>
      </w:r>
      <w:r>
        <w:t>ing</w:t>
      </w:r>
      <w:r w:rsidRPr="005852A1">
        <w:t xml:space="preserve"> Employment Always Present at the Drop-In Centers”</w:t>
      </w:r>
      <w:r w:rsidR="008335EB">
        <w:t xml:space="preserve"> and to further</w:t>
      </w:r>
      <w:r>
        <w:t xml:space="preserve"> </w:t>
      </w:r>
      <w:r w:rsidRPr="005852A1">
        <w:t xml:space="preserve">increase </w:t>
      </w:r>
      <w:r w:rsidR="00282227">
        <w:t>e</w:t>
      </w:r>
      <w:r w:rsidRPr="005852A1">
        <w:t xml:space="preserve">mployment </w:t>
      </w:r>
      <w:r w:rsidR="00282227">
        <w:t>e</w:t>
      </w:r>
      <w:r w:rsidRPr="005852A1">
        <w:t xml:space="preserve">ngagement </w:t>
      </w:r>
      <w:r w:rsidR="00282227">
        <w:t>a</w:t>
      </w:r>
      <w:r w:rsidRPr="005852A1">
        <w:t>ctivities and referrals to the IPS or other Employment Program</w:t>
      </w:r>
      <w:r w:rsidR="00282227">
        <w:t>s</w:t>
      </w:r>
      <w:r w:rsidRPr="005852A1">
        <w:t>.</w:t>
      </w:r>
    </w:p>
    <w:p w:rsidR="005852A1" w:rsidRPr="00F32EA1" w:rsidRDefault="00B149A8" w:rsidP="005852A1">
      <w:pPr>
        <w:pStyle w:val="NoSpacing"/>
        <w:numPr>
          <w:ilvl w:val="0"/>
          <w:numId w:val="11"/>
        </w:numPr>
        <w:spacing w:line="276" w:lineRule="auto"/>
        <w:rPr>
          <w:rFonts w:ascii="Calibri" w:hAnsi="Calibri"/>
        </w:rPr>
      </w:pPr>
      <w:r>
        <w:t>Convene m</w:t>
      </w:r>
      <w:r w:rsidR="005852A1" w:rsidRPr="005852A1">
        <w:t xml:space="preserve">onthly </w:t>
      </w:r>
      <w:r w:rsidR="005852A1" w:rsidRPr="005852A1">
        <w:rPr>
          <w:i/>
        </w:rPr>
        <w:t xml:space="preserve">Williams </w:t>
      </w:r>
      <w:r w:rsidR="005852A1" w:rsidRPr="005852A1">
        <w:t>and</w:t>
      </w:r>
      <w:r w:rsidR="005852A1" w:rsidRPr="005852A1">
        <w:rPr>
          <w:i/>
        </w:rPr>
        <w:t xml:space="preserve"> Colbert </w:t>
      </w:r>
      <w:r w:rsidR="005852A1" w:rsidRPr="005852A1">
        <w:t xml:space="preserve">Employment Learning Collaborative </w:t>
      </w:r>
      <w:r w:rsidR="00282227">
        <w:t>c</w:t>
      </w:r>
      <w:r w:rsidR="005852A1" w:rsidRPr="005852A1">
        <w:t xml:space="preserve">alls for the Drop-In Center Coordinators and Illinois IPS Learning Community.  </w:t>
      </w:r>
    </w:p>
    <w:p w:rsidR="005852A1" w:rsidRPr="005852A1" w:rsidRDefault="00B149A8" w:rsidP="00F32EA1">
      <w:pPr>
        <w:pStyle w:val="NoSpacing"/>
        <w:numPr>
          <w:ilvl w:val="0"/>
          <w:numId w:val="11"/>
        </w:numPr>
        <w:spacing w:line="276" w:lineRule="auto"/>
      </w:pPr>
      <w:r>
        <w:t>E</w:t>
      </w:r>
      <w:r w:rsidR="005852A1" w:rsidRPr="005852A1">
        <w:t xml:space="preserve">ncourage Leadership at the Community Mental Health Centers </w:t>
      </w:r>
      <w:r>
        <w:t xml:space="preserve">by working with </w:t>
      </w:r>
      <w:r w:rsidR="005852A1" w:rsidRPr="005852A1">
        <w:t>ACT Teams</w:t>
      </w:r>
      <w:r>
        <w:t>’</w:t>
      </w:r>
      <w:r w:rsidR="005852A1" w:rsidRPr="005852A1">
        <w:t xml:space="preserve"> Vocational Specialists </w:t>
      </w:r>
      <w:r>
        <w:t xml:space="preserve">through </w:t>
      </w:r>
      <w:r w:rsidR="005852A1" w:rsidRPr="005852A1">
        <w:t xml:space="preserve">the 8 Key Principles of IPS Supported Employment that </w:t>
      </w:r>
      <w:r w:rsidR="00282227">
        <w:t>g</w:t>
      </w:r>
      <w:r w:rsidR="005852A1" w:rsidRPr="005852A1">
        <w:t>uide</w:t>
      </w:r>
      <w:r w:rsidR="00282227">
        <w:t>s i</w:t>
      </w:r>
      <w:r w:rsidR="005852A1" w:rsidRPr="005852A1">
        <w:t xml:space="preserve">mplementation.       </w:t>
      </w:r>
    </w:p>
    <w:p w:rsidR="00B149A8" w:rsidRDefault="00B149A8" w:rsidP="00B149A8">
      <w:pPr>
        <w:pStyle w:val="NoSpacing"/>
        <w:numPr>
          <w:ilvl w:val="0"/>
          <w:numId w:val="11"/>
        </w:numPr>
        <w:spacing w:line="276" w:lineRule="auto"/>
      </w:pPr>
      <w:r>
        <w:t>R</w:t>
      </w:r>
      <w:r w:rsidR="005852A1" w:rsidRPr="005852A1">
        <w:t xml:space="preserve">eviewed </w:t>
      </w:r>
      <w:r>
        <w:t>for</w:t>
      </w:r>
      <w:r w:rsidR="005852A1" w:rsidRPr="005852A1">
        <w:t xml:space="preserve"> the Illinois Recovery and Empowerment Statewide Call</w:t>
      </w:r>
      <w:r w:rsidR="00282227">
        <w:t>s</w:t>
      </w:r>
      <w:r w:rsidR="005852A1" w:rsidRPr="005852A1">
        <w:t xml:space="preserve"> how to get connected to an IPS Supported Employment Program</w:t>
      </w:r>
      <w:r w:rsidR="00282227">
        <w:t>s</w:t>
      </w:r>
      <w:r w:rsidR="005852A1" w:rsidRPr="005852A1">
        <w:t xml:space="preserve"> and how to connect to Work Incentives Benefits Counseling</w:t>
      </w:r>
      <w:r>
        <w:t xml:space="preserve"> - </w:t>
      </w:r>
      <w:r w:rsidR="005852A1" w:rsidRPr="005852A1">
        <w:t>explain</w:t>
      </w:r>
      <w:r w:rsidR="00721198">
        <w:t>ing</w:t>
      </w:r>
      <w:r w:rsidR="005852A1" w:rsidRPr="005852A1">
        <w:t xml:space="preserve"> how </w:t>
      </w:r>
      <w:r>
        <w:t>employment</w:t>
      </w:r>
      <w:r w:rsidR="005852A1" w:rsidRPr="005852A1">
        <w:t xml:space="preserve"> will </w:t>
      </w:r>
      <w:r w:rsidR="00721198">
        <w:t>a</w:t>
      </w:r>
      <w:r w:rsidR="005852A1" w:rsidRPr="005852A1">
        <w:t xml:space="preserve">ffect </w:t>
      </w:r>
      <w:r w:rsidR="00282227">
        <w:t>b</w:t>
      </w:r>
      <w:r w:rsidR="005852A1" w:rsidRPr="005852A1">
        <w:t xml:space="preserve">enefits such as SSI (Supplemental Security Income), SSDI (Social Security Disability Insurance), and Medicaid. </w:t>
      </w:r>
    </w:p>
    <w:p w:rsidR="005852A1" w:rsidRPr="005852A1" w:rsidRDefault="00B149A8" w:rsidP="005852A1">
      <w:pPr>
        <w:pStyle w:val="NoSpacing"/>
        <w:numPr>
          <w:ilvl w:val="0"/>
          <w:numId w:val="11"/>
        </w:numPr>
        <w:spacing w:line="276" w:lineRule="auto"/>
      </w:pPr>
      <w:r>
        <w:t>C</w:t>
      </w:r>
      <w:r w:rsidRPr="005852A1">
        <w:t xml:space="preserve">o-facilitated </w:t>
      </w:r>
      <w:r>
        <w:t xml:space="preserve">an </w:t>
      </w:r>
      <w:r w:rsidR="005852A1" w:rsidRPr="005852A1">
        <w:t>8</w:t>
      </w:r>
      <w:r>
        <w:t>-</w:t>
      </w:r>
      <w:r w:rsidR="005852A1" w:rsidRPr="005852A1">
        <w:t>week</w:t>
      </w:r>
      <w:r>
        <w:t>s</w:t>
      </w:r>
      <w:r w:rsidR="005852A1" w:rsidRPr="005852A1">
        <w:t xml:space="preserve"> Nutrition and Exercise for Wellness and Recovery (NEW-R) </w:t>
      </w:r>
      <w:r w:rsidR="00282227">
        <w:t>g</w:t>
      </w:r>
      <w:r w:rsidR="005852A1" w:rsidRPr="005852A1">
        <w:t xml:space="preserve">roups </w:t>
      </w:r>
      <w:proofErr w:type="gramStart"/>
      <w:r w:rsidR="005852A1" w:rsidRPr="005852A1">
        <w:t>as a result of</w:t>
      </w:r>
      <w:proofErr w:type="gramEnd"/>
      <w:r w:rsidR="005852A1" w:rsidRPr="005852A1">
        <w:t xml:space="preserve"> the NEW-R Training.  NEW-R </w:t>
      </w:r>
      <w:r w:rsidR="00282227">
        <w:t>g</w:t>
      </w:r>
      <w:r w:rsidR="005852A1" w:rsidRPr="005852A1">
        <w:t>roups support the IPS Supported Employment Action Plan</w:t>
      </w:r>
      <w:r w:rsidR="00282227">
        <w:t xml:space="preserve">s - </w:t>
      </w:r>
      <w:r w:rsidR="005852A1" w:rsidRPr="005852A1">
        <w:t xml:space="preserve">Nutrition and Exercise can help to prepare </w:t>
      </w:r>
      <w:r w:rsidR="005852A1" w:rsidRPr="005852A1">
        <w:rPr>
          <w:i/>
        </w:rPr>
        <w:t>Williams</w:t>
      </w:r>
      <w:r w:rsidR="005852A1" w:rsidRPr="005852A1">
        <w:t xml:space="preserve"> Class Members to get back into the workforce and maintain their employment.</w:t>
      </w:r>
    </w:p>
    <w:p w:rsidR="005852A1" w:rsidRPr="005852A1" w:rsidRDefault="00B149A8" w:rsidP="005852A1">
      <w:pPr>
        <w:pStyle w:val="NoSpacing"/>
        <w:numPr>
          <w:ilvl w:val="0"/>
          <w:numId w:val="11"/>
        </w:numPr>
        <w:spacing w:line="276" w:lineRule="auto"/>
      </w:pPr>
      <w:r>
        <w:t>R</w:t>
      </w:r>
      <w:r w:rsidR="005852A1" w:rsidRPr="005852A1">
        <w:t>eviewed 4 Employment Engagement Tools with Terry Sullivan from Alliance for Living</w:t>
      </w:r>
      <w:r>
        <w:t xml:space="preserve"> – assisting SMHRFs in recognizing the importance of </w:t>
      </w:r>
      <w:r w:rsidR="005852A1" w:rsidRPr="005852A1">
        <w:rPr>
          <w:rFonts w:eastAsia="Times New Roman" w:cs="Arial"/>
        </w:rPr>
        <w:t xml:space="preserve">employment as part of </w:t>
      </w:r>
      <w:r>
        <w:rPr>
          <w:rFonts w:eastAsia="Times New Roman" w:cs="Arial"/>
        </w:rPr>
        <w:t>the residents’</w:t>
      </w:r>
      <w:r w:rsidR="005852A1" w:rsidRPr="005852A1">
        <w:rPr>
          <w:rFonts w:eastAsia="Times New Roman" w:cs="Arial"/>
        </w:rPr>
        <w:t xml:space="preserve"> recovery and normalization process, particularly those </w:t>
      </w:r>
      <w:r>
        <w:rPr>
          <w:rFonts w:eastAsia="Times New Roman" w:cs="Arial"/>
        </w:rPr>
        <w:t>who</w:t>
      </w:r>
      <w:r w:rsidR="005852A1" w:rsidRPr="005852A1">
        <w:rPr>
          <w:rFonts w:eastAsia="Times New Roman" w:cs="Arial"/>
        </w:rPr>
        <w:t xml:space="preserve"> on a path toward transition in the next few months.”</w:t>
      </w:r>
    </w:p>
    <w:p w:rsidR="005852A1" w:rsidRDefault="00B149A8" w:rsidP="002B6D14">
      <w:pPr>
        <w:pStyle w:val="NoSpacing"/>
        <w:numPr>
          <w:ilvl w:val="0"/>
          <w:numId w:val="11"/>
        </w:numPr>
        <w:spacing w:line="276" w:lineRule="auto"/>
      </w:pPr>
      <w:r>
        <w:t>R</w:t>
      </w:r>
      <w:r w:rsidR="005852A1" w:rsidRPr="005852A1">
        <w:t xml:space="preserve">eviewed 4 Employment Engagement Tools with Randy Walker, the Vice President of Operations for MADO Healthcare in Chicago.   </w:t>
      </w:r>
    </w:p>
    <w:p w:rsidR="00B149A8" w:rsidRDefault="00B149A8" w:rsidP="00B149A8">
      <w:pPr>
        <w:pStyle w:val="ListParagraph"/>
      </w:pPr>
    </w:p>
    <w:p w:rsidR="005852A1" w:rsidRDefault="00F92FAB" w:rsidP="005852A1">
      <w:pPr>
        <w:spacing w:after="0"/>
      </w:pPr>
      <w:r>
        <w:t xml:space="preserve">During this </w:t>
      </w:r>
      <w:r w:rsidR="00222140">
        <w:t>reporting period, January 1, 2018 – June 30, 2018</w:t>
      </w:r>
      <w:r>
        <w:t>, t</w:t>
      </w:r>
      <w:r w:rsidR="005852A1" w:rsidRPr="005852A1">
        <w:t xml:space="preserve">he </w:t>
      </w:r>
      <w:r w:rsidR="005852A1" w:rsidRPr="005852A1">
        <w:rPr>
          <w:i/>
        </w:rPr>
        <w:t xml:space="preserve">Williams </w:t>
      </w:r>
      <w:r w:rsidR="005852A1" w:rsidRPr="005852A1">
        <w:t>IPS Trainer</w:t>
      </w:r>
      <w:r w:rsidR="005852A1" w:rsidRPr="005852A1">
        <w:rPr>
          <w:b/>
        </w:rPr>
        <w:t xml:space="preserve"> </w:t>
      </w:r>
      <w:r w:rsidR="005852A1" w:rsidRPr="005852A1">
        <w:t xml:space="preserve">gathered observations </w:t>
      </w:r>
      <w:r w:rsidRPr="005852A1">
        <w:t xml:space="preserve">from IPS Supported Employment managers </w:t>
      </w:r>
      <w:r w:rsidR="005852A1" w:rsidRPr="005852A1">
        <w:t xml:space="preserve">regarding </w:t>
      </w:r>
      <w:r w:rsidR="005852A1" w:rsidRPr="005852A1">
        <w:rPr>
          <w:i/>
        </w:rPr>
        <w:t>Williams</w:t>
      </w:r>
      <w:r w:rsidR="005852A1" w:rsidRPr="005852A1">
        <w:t xml:space="preserve"> Class Members and IPS Supported Employment services.   Their feedback addresses six key questions</w:t>
      </w:r>
      <w:r>
        <w:t>:</w:t>
      </w:r>
    </w:p>
    <w:p w:rsidR="00F92FAB" w:rsidRPr="005852A1" w:rsidRDefault="00F92FAB" w:rsidP="005852A1">
      <w:pPr>
        <w:spacing w:after="0"/>
      </w:pPr>
    </w:p>
    <w:p w:rsidR="00F92FAB" w:rsidRPr="00F92FAB" w:rsidRDefault="00F92FAB" w:rsidP="00F92FAB">
      <w:pPr>
        <w:pStyle w:val="ListParagraph"/>
        <w:numPr>
          <w:ilvl w:val="0"/>
          <w:numId w:val="12"/>
        </w:numPr>
        <w:rPr>
          <w:b/>
        </w:rPr>
      </w:pPr>
      <w:r w:rsidRPr="00F92FAB">
        <w:rPr>
          <w:b/>
        </w:rPr>
        <w:t>W</w:t>
      </w:r>
      <w:r w:rsidR="005852A1" w:rsidRPr="00F92FAB">
        <w:rPr>
          <w:b/>
        </w:rPr>
        <w:t xml:space="preserve">hat appears to interest </w:t>
      </w:r>
      <w:r w:rsidR="005852A1" w:rsidRPr="00F92FAB">
        <w:rPr>
          <w:b/>
          <w:i/>
        </w:rPr>
        <w:t>Williams</w:t>
      </w:r>
      <w:r w:rsidR="005852A1" w:rsidRPr="00F92FAB">
        <w:rPr>
          <w:b/>
        </w:rPr>
        <w:t xml:space="preserve"> Class Members about IPS and Why? </w:t>
      </w:r>
    </w:p>
    <w:p w:rsidR="00F92FAB" w:rsidRDefault="00F92FAB" w:rsidP="00F92FAB">
      <w:pPr>
        <w:pStyle w:val="ListParagraph"/>
        <w:ind w:left="720"/>
      </w:pPr>
    </w:p>
    <w:p w:rsidR="005852A1" w:rsidRDefault="005852A1" w:rsidP="00F92FAB">
      <w:pPr>
        <w:pStyle w:val="ListParagraph"/>
        <w:spacing w:line="276" w:lineRule="auto"/>
        <w:ind w:left="720"/>
      </w:pPr>
      <w:r w:rsidRPr="005852A1">
        <w:t>Feedback indicate</w:t>
      </w:r>
      <w:r w:rsidR="00F92FAB">
        <w:t>d</w:t>
      </w:r>
      <w:r w:rsidRPr="005852A1">
        <w:t xml:space="preserve"> that </w:t>
      </w:r>
      <w:proofErr w:type="gramStart"/>
      <w:r w:rsidRPr="005852A1">
        <w:t>the majority of</w:t>
      </w:r>
      <w:proofErr w:type="gramEnd"/>
      <w:r w:rsidRPr="005852A1">
        <w:t xml:space="preserve"> Class Members show</w:t>
      </w:r>
      <w:r w:rsidR="00282227">
        <w:t>ed</w:t>
      </w:r>
      <w:r w:rsidRPr="005852A1">
        <w:t xml:space="preserve"> interest in receiving IPS Supported Employment s</w:t>
      </w:r>
      <w:r w:rsidR="00F32EA1">
        <w:t xml:space="preserve">ervices and returning to work. </w:t>
      </w:r>
      <w:r w:rsidRPr="005852A1">
        <w:t xml:space="preserve">The </w:t>
      </w:r>
      <w:r w:rsidRPr="00F92FAB">
        <w:rPr>
          <w:i/>
        </w:rPr>
        <w:t>Williams</w:t>
      </w:r>
      <w:r w:rsidRPr="005852A1">
        <w:t xml:space="preserve"> Class Members feel that being employed will give them something to do in their day that is productive and is a way for them to inte</w:t>
      </w:r>
      <w:r w:rsidR="00F32EA1">
        <w:t xml:space="preserve">grate back into the community. </w:t>
      </w:r>
      <w:r w:rsidRPr="005852A1">
        <w:t>Additionally, Class Members indicate</w:t>
      </w:r>
      <w:r w:rsidR="00282227">
        <w:t>d</w:t>
      </w:r>
      <w:r w:rsidRPr="005852A1">
        <w:t xml:space="preserve"> that returning to work will include benefits </w:t>
      </w:r>
      <w:r w:rsidR="00F92FAB">
        <w:t xml:space="preserve">as </w:t>
      </w:r>
      <w:r w:rsidRPr="005852A1">
        <w:t>a way to build a steady routine and structure in their day</w:t>
      </w:r>
      <w:r w:rsidR="00F92FAB">
        <w:t>;</w:t>
      </w:r>
      <w:r w:rsidRPr="005852A1">
        <w:t xml:space="preserve"> a meaningful reason to get out of the house and engage in social interaction with others</w:t>
      </w:r>
      <w:r w:rsidR="00F92FAB">
        <w:t>;</w:t>
      </w:r>
      <w:r w:rsidRPr="005852A1">
        <w:t xml:space="preserve"> an opportunity to contribute to the community</w:t>
      </w:r>
      <w:r w:rsidR="00F92FAB">
        <w:t>;</w:t>
      </w:r>
      <w:r w:rsidRPr="005852A1">
        <w:t xml:space="preserve"> a way to build their sense of accomplishment, self-esteem and self- confidence</w:t>
      </w:r>
      <w:r w:rsidR="00F92FAB">
        <w:t>;</w:t>
      </w:r>
      <w:r w:rsidRPr="005852A1">
        <w:t xml:space="preserve"> and a way to improve their financial security. </w:t>
      </w:r>
    </w:p>
    <w:p w:rsidR="00F92FAB" w:rsidRDefault="00F92FAB" w:rsidP="00F92FAB">
      <w:pPr>
        <w:pStyle w:val="ListParagraph"/>
        <w:spacing w:line="276" w:lineRule="auto"/>
        <w:ind w:left="720"/>
      </w:pPr>
    </w:p>
    <w:p w:rsidR="00F92FAB" w:rsidRPr="00F92FAB" w:rsidRDefault="00F92FAB" w:rsidP="00F92FAB">
      <w:pPr>
        <w:pStyle w:val="ListParagraph"/>
        <w:numPr>
          <w:ilvl w:val="0"/>
          <w:numId w:val="12"/>
        </w:numPr>
      </w:pPr>
      <w:r w:rsidRPr="00F92FAB">
        <w:rPr>
          <w:b/>
        </w:rPr>
        <w:t>W</w:t>
      </w:r>
      <w:r w:rsidR="005852A1" w:rsidRPr="00F92FAB">
        <w:rPr>
          <w:b/>
        </w:rPr>
        <w:t xml:space="preserve">hat needs to be tweaked to motivate the </w:t>
      </w:r>
      <w:r w:rsidR="005852A1" w:rsidRPr="00F92FAB">
        <w:rPr>
          <w:b/>
          <w:i/>
        </w:rPr>
        <w:t>Williams</w:t>
      </w:r>
      <w:r w:rsidR="005852A1" w:rsidRPr="00F92FAB">
        <w:rPr>
          <w:b/>
        </w:rPr>
        <w:t xml:space="preserve"> Class Members to receive IPS Supported Employment Services?</w:t>
      </w:r>
    </w:p>
    <w:p w:rsidR="00F92FAB" w:rsidRDefault="00F92FAB" w:rsidP="00F92FAB">
      <w:pPr>
        <w:pStyle w:val="ListParagraph"/>
        <w:ind w:left="720"/>
      </w:pPr>
    </w:p>
    <w:p w:rsidR="00F92FAB" w:rsidRDefault="005852A1" w:rsidP="00F92FAB">
      <w:pPr>
        <w:pStyle w:val="ListParagraph"/>
        <w:spacing w:line="276" w:lineRule="auto"/>
        <w:ind w:left="720"/>
      </w:pPr>
      <w:r w:rsidRPr="005852A1">
        <w:t xml:space="preserve">One point of view </w:t>
      </w:r>
      <w:r w:rsidR="00282227">
        <w:t>is</w:t>
      </w:r>
      <w:r w:rsidRPr="005852A1">
        <w:t xml:space="preserve"> that nothing need</w:t>
      </w:r>
      <w:r w:rsidR="00F92FAB">
        <w:t>ed</w:t>
      </w:r>
      <w:r w:rsidRPr="005852A1">
        <w:t xml:space="preserve"> to be tweaked</w:t>
      </w:r>
      <w:r w:rsidR="00282227">
        <w:t>,</w:t>
      </w:r>
      <w:r w:rsidRPr="005852A1">
        <w:t xml:space="preserve"> </w:t>
      </w:r>
      <w:r w:rsidR="00F92FAB">
        <w:t>as</w:t>
      </w:r>
      <w:r w:rsidRPr="005852A1">
        <w:t xml:space="preserve"> </w:t>
      </w:r>
      <w:proofErr w:type="gramStart"/>
      <w:r w:rsidR="00F92FAB">
        <w:t>a</w:t>
      </w:r>
      <w:r w:rsidRPr="005852A1">
        <w:t xml:space="preserve"> majority of</w:t>
      </w:r>
      <w:proofErr w:type="gramEnd"/>
      <w:r w:rsidRPr="005852A1">
        <w:t xml:space="preserve"> Class Members </w:t>
      </w:r>
      <w:r w:rsidR="00F92FAB">
        <w:t>expressed</w:t>
      </w:r>
      <w:r w:rsidR="00F32EA1">
        <w:t xml:space="preserve"> interest in working.  </w:t>
      </w:r>
      <w:r w:rsidRPr="005852A1">
        <w:t>Another point of view is to delay introducing IPS Supported Employment Services to Class Members anywhere from 3 to 6 months from the date that</w:t>
      </w:r>
      <w:r w:rsidR="00F32EA1">
        <w:t xml:space="preserve"> they move into the community. </w:t>
      </w:r>
      <w:r w:rsidR="00282227">
        <w:t xml:space="preserve">By doing so, </w:t>
      </w:r>
      <w:r w:rsidRPr="005852A1">
        <w:t xml:space="preserve">Class Members have an opportunity to </w:t>
      </w:r>
      <w:r w:rsidR="00282227" w:rsidRPr="005852A1">
        <w:t xml:space="preserve">adjust </w:t>
      </w:r>
      <w:r w:rsidR="00282227">
        <w:t>t</w:t>
      </w:r>
      <w:r w:rsidRPr="005852A1">
        <w:t>o their new apartment and environment before engagement about re</w:t>
      </w:r>
      <w:r w:rsidR="00F32EA1">
        <w:t xml:space="preserve">turning to work is introduced. </w:t>
      </w:r>
      <w:r w:rsidR="00C92248">
        <w:t>It is believed that</w:t>
      </w:r>
      <w:r w:rsidRPr="005852A1">
        <w:t xml:space="preserve"> Class Members </w:t>
      </w:r>
      <w:r w:rsidR="00C92248">
        <w:t xml:space="preserve">may </w:t>
      </w:r>
      <w:r w:rsidRPr="005852A1">
        <w:t>find it overwhelming to engage</w:t>
      </w:r>
      <w:r w:rsidR="00C92248">
        <w:t xml:space="preserve"> in work related activities.</w:t>
      </w:r>
    </w:p>
    <w:p w:rsidR="00C92248" w:rsidRPr="005852A1" w:rsidRDefault="00C92248" w:rsidP="00F92FAB">
      <w:pPr>
        <w:pStyle w:val="ListParagraph"/>
        <w:spacing w:line="276" w:lineRule="auto"/>
        <w:ind w:left="720"/>
      </w:pPr>
    </w:p>
    <w:p w:rsidR="00F92FAB" w:rsidRDefault="00F92FAB" w:rsidP="00F92FAB">
      <w:pPr>
        <w:pStyle w:val="ListParagraph"/>
        <w:numPr>
          <w:ilvl w:val="0"/>
          <w:numId w:val="12"/>
        </w:numPr>
      </w:pPr>
      <w:r w:rsidRPr="00F92FAB">
        <w:rPr>
          <w:b/>
        </w:rPr>
        <w:t>W</w:t>
      </w:r>
      <w:r w:rsidR="005852A1" w:rsidRPr="00F92FAB">
        <w:rPr>
          <w:b/>
        </w:rPr>
        <w:t xml:space="preserve">hy from your experience are </w:t>
      </w:r>
      <w:r w:rsidR="005852A1" w:rsidRPr="00F92FAB">
        <w:rPr>
          <w:b/>
          <w:i/>
        </w:rPr>
        <w:t>Williams</w:t>
      </w:r>
      <w:r w:rsidR="005852A1" w:rsidRPr="00F92FAB">
        <w:rPr>
          <w:b/>
        </w:rPr>
        <w:t xml:space="preserve"> Class Members not interested in IPS?</w:t>
      </w:r>
      <w:r w:rsidR="005852A1" w:rsidRPr="005852A1">
        <w:t xml:space="preserve">  </w:t>
      </w:r>
    </w:p>
    <w:p w:rsidR="00F92FAB" w:rsidRDefault="00F92FAB" w:rsidP="00F92FAB">
      <w:pPr>
        <w:pStyle w:val="ListParagraph"/>
        <w:ind w:left="720"/>
      </w:pPr>
    </w:p>
    <w:p w:rsidR="005852A1" w:rsidRPr="005852A1" w:rsidRDefault="005852A1" w:rsidP="00F92FAB">
      <w:pPr>
        <w:pStyle w:val="ListParagraph"/>
        <w:spacing w:line="276" w:lineRule="auto"/>
        <w:ind w:left="720"/>
      </w:pPr>
      <w:r w:rsidRPr="005852A1">
        <w:t>Feedback indicate</w:t>
      </w:r>
      <w:r w:rsidR="00F92FAB">
        <w:t>d</w:t>
      </w:r>
      <w:r w:rsidRPr="005852A1">
        <w:t xml:space="preserve"> that many Class Members are afraid of losing benefits such as SSI</w:t>
      </w:r>
      <w:r w:rsidR="00F32EA1">
        <w:t xml:space="preserve">, SSDI and Medicaid. </w:t>
      </w:r>
      <w:r w:rsidRPr="005852A1">
        <w:t>To address this concern, the IPS Program Managers include WIPA (Work Incentives Planning and Assistance) benefit planning for Class Membe</w:t>
      </w:r>
      <w:r w:rsidR="00F32EA1">
        <w:t xml:space="preserve">rs and their IPS participants. </w:t>
      </w:r>
      <w:r w:rsidRPr="005852A1">
        <w:t>WIPA Benefit Planners explain how going to work effects benefits</w:t>
      </w:r>
      <w:r w:rsidR="00C92248">
        <w:t>.</w:t>
      </w:r>
      <w:r w:rsidRPr="005852A1">
        <w:t xml:space="preserve">  WIPA Benefit Planners also make presentations in their Drop-In Centers</w:t>
      </w:r>
      <w:r w:rsidR="00C92248">
        <w:t>.  Additionally,</w:t>
      </w:r>
      <w:r w:rsidR="00BB7841">
        <w:t xml:space="preserve"> other</w:t>
      </w:r>
      <w:r w:rsidR="00C92248">
        <w:t xml:space="preserve"> </w:t>
      </w:r>
      <w:r w:rsidRPr="00F92FAB">
        <w:t xml:space="preserve">reasons shared why Class Members </w:t>
      </w:r>
      <w:r w:rsidR="00C92248">
        <w:t xml:space="preserve">may not be </w:t>
      </w:r>
      <w:r w:rsidRPr="00F92FAB">
        <w:t>interested in IPS include</w:t>
      </w:r>
      <w:r w:rsidR="00C92248">
        <w:t>s</w:t>
      </w:r>
      <w:r w:rsidRPr="005852A1">
        <w:t xml:space="preserve"> their lack of self-confidence and self-esteem.   </w:t>
      </w:r>
    </w:p>
    <w:p w:rsidR="005852A1" w:rsidRPr="005852A1" w:rsidRDefault="005852A1" w:rsidP="00F92FAB">
      <w:pPr>
        <w:spacing w:after="0"/>
        <w:rPr>
          <w:b/>
        </w:rPr>
      </w:pPr>
    </w:p>
    <w:p w:rsidR="005852A1" w:rsidRDefault="003044D2" w:rsidP="003044D2">
      <w:pPr>
        <w:pStyle w:val="ListParagraph"/>
        <w:numPr>
          <w:ilvl w:val="0"/>
          <w:numId w:val="12"/>
        </w:numPr>
      </w:pPr>
      <w:r w:rsidRPr="003044D2">
        <w:rPr>
          <w:b/>
        </w:rPr>
        <w:t xml:space="preserve">What </w:t>
      </w:r>
      <w:r w:rsidR="005852A1" w:rsidRPr="003044D2">
        <w:rPr>
          <w:b/>
        </w:rPr>
        <w:t>can</w:t>
      </w:r>
      <w:r w:rsidRPr="003044D2">
        <w:rPr>
          <w:b/>
        </w:rPr>
        <w:t xml:space="preserve"> or should</w:t>
      </w:r>
      <w:r w:rsidR="005852A1" w:rsidRPr="003044D2">
        <w:rPr>
          <w:b/>
        </w:rPr>
        <w:t xml:space="preserve"> be changed about the existing IPS Program that may make it more appealing to </w:t>
      </w:r>
      <w:r w:rsidR="005852A1" w:rsidRPr="003044D2">
        <w:rPr>
          <w:b/>
          <w:i/>
        </w:rPr>
        <w:t>Williams</w:t>
      </w:r>
      <w:r w:rsidR="005852A1" w:rsidRPr="003044D2">
        <w:rPr>
          <w:b/>
        </w:rPr>
        <w:t xml:space="preserve"> Class Members?</w:t>
      </w:r>
      <w:r w:rsidR="005852A1" w:rsidRPr="005852A1">
        <w:t xml:space="preserve">  Feedback indicate</w:t>
      </w:r>
      <w:r>
        <w:t>d</w:t>
      </w:r>
      <w:r w:rsidR="005852A1" w:rsidRPr="005852A1">
        <w:t xml:space="preserve"> that having an IPS Team member lead vocational groups </w:t>
      </w:r>
      <w:r w:rsidR="00C92248">
        <w:t>w</w:t>
      </w:r>
      <w:r w:rsidR="005852A1" w:rsidRPr="005852A1">
        <w:t xml:space="preserve">ould not only help to keep the </w:t>
      </w:r>
      <w:r w:rsidR="005852A1" w:rsidRPr="003044D2">
        <w:rPr>
          <w:i/>
        </w:rPr>
        <w:t>Williams</w:t>
      </w:r>
      <w:r w:rsidR="005852A1" w:rsidRPr="005852A1">
        <w:t xml:space="preserve"> Class Members engaged in their goal of returning to work, but also help to build their sel</w:t>
      </w:r>
      <w:r w:rsidR="00F32EA1">
        <w:t xml:space="preserve">f-confidence and self-esteem. </w:t>
      </w:r>
      <w:r w:rsidR="005852A1" w:rsidRPr="005852A1">
        <w:t xml:space="preserve">Vocational groups are usually not provided by the IPS Supported Employment Team. However, an Illinois SAMHSA IPS Supported Employment Expansion and Transformation Grant is showing positive results with two IPS Supported Employment Teams having an Employment Recovery Specialist (a person with lived experience of being in mental health recovery) as a part of the IPS Team who leads vocational groups which include WRAP (Wellness Recovery Action Plan) for Work, Nutrition and Exercise for Wellness and Recovery (NEW-R) and the Eight Dimensions of Wellness.  </w:t>
      </w:r>
    </w:p>
    <w:p w:rsidR="003044D2" w:rsidRDefault="003044D2" w:rsidP="003044D2">
      <w:pPr>
        <w:pStyle w:val="ListParagraph"/>
        <w:ind w:left="720"/>
        <w:rPr>
          <w:b/>
        </w:rPr>
      </w:pPr>
    </w:p>
    <w:p w:rsidR="00E54395" w:rsidRDefault="003044D2" w:rsidP="00E54395">
      <w:pPr>
        <w:pStyle w:val="ListParagraph"/>
        <w:numPr>
          <w:ilvl w:val="0"/>
          <w:numId w:val="12"/>
        </w:numPr>
        <w:spacing w:line="276" w:lineRule="auto"/>
      </w:pPr>
      <w:r w:rsidRPr="003044D2">
        <w:rPr>
          <w:b/>
        </w:rPr>
        <w:t>W</w:t>
      </w:r>
      <w:r w:rsidR="005852A1" w:rsidRPr="003044D2">
        <w:rPr>
          <w:b/>
        </w:rPr>
        <w:t xml:space="preserve">hat appears to be the primary successes with job retention and why? </w:t>
      </w:r>
      <w:r w:rsidR="005852A1" w:rsidRPr="005852A1">
        <w:t xml:space="preserve"> </w:t>
      </w:r>
    </w:p>
    <w:p w:rsidR="00E54395" w:rsidRDefault="00E54395" w:rsidP="00E54395">
      <w:pPr>
        <w:pStyle w:val="ListParagraph"/>
      </w:pPr>
    </w:p>
    <w:p w:rsidR="00E54395" w:rsidRDefault="005852A1" w:rsidP="00E54395">
      <w:pPr>
        <w:pStyle w:val="ListParagraph"/>
        <w:spacing w:line="276" w:lineRule="auto"/>
        <w:ind w:left="720"/>
      </w:pPr>
      <w:r w:rsidRPr="005852A1">
        <w:t>Feedback indicate</w:t>
      </w:r>
      <w:r w:rsidR="00E54395">
        <w:t>d</w:t>
      </w:r>
      <w:r w:rsidRPr="005852A1">
        <w:t xml:space="preserve"> that job retention supports are successful for Class Members because the IPS model requires that all clients receive job retention supports </w:t>
      </w:r>
      <w:r w:rsidR="00E54395">
        <w:t xml:space="preserve">for </w:t>
      </w:r>
      <w:r w:rsidRPr="005852A1">
        <w:t xml:space="preserve">as long as they are wanted </w:t>
      </w:r>
      <w:r w:rsidR="00C92248">
        <w:t>or</w:t>
      </w:r>
      <w:r w:rsidRPr="005852A1">
        <w:t xml:space="preserve"> needed.  In fact, every </w:t>
      </w:r>
      <w:r w:rsidR="00E54395">
        <w:t>Class Member</w:t>
      </w:r>
      <w:r w:rsidRPr="005852A1">
        <w:t xml:space="preserve"> who obtains a job must have a job retention and support plan.  The job retention and support plan </w:t>
      </w:r>
      <w:r w:rsidR="00964563" w:rsidRPr="005852A1">
        <w:t>identify</w:t>
      </w:r>
      <w:r w:rsidRPr="005852A1">
        <w:t xml:space="preserve"> anticipated stressors that may occur on the job, coping strategies for managing stressors and symptoms on the job</w:t>
      </w:r>
      <w:r w:rsidR="00C92248">
        <w:t>.</w:t>
      </w:r>
      <w:r w:rsidRPr="005852A1">
        <w:t xml:space="preserve"> </w:t>
      </w:r>
    </w:p>
    <w:p w:rsidR="00E54395" w:rsidRPr="005852A1" w:rsidRDefault="00E54395" w:rsidP="00E54395">
      <w:pPr>
        <w:pStyle w:val="ListParagraph"/>
        <w:spacing w:line="276" w:lineRule="auto"/>
        <w:ind w:left="720"/>
      </w:pPr>
    </w:p>
    <w:p w:rsidR="00E54395" w:rsidRDefault="00E54395" w:rsidP="00E54395">
      <w:pPr>
        <w:pStyle w:val="ListParagraph"/>
        <w:numPr>
          <w:ilvl w:val="0"/>
          <w:numId w:val="12"/>
        </w:numPr>
      </w:pPr>
      <w:r w:rsidRPr="00E54395">
        <w:rPr>
          <w:b/>
        </w:rPr>
        <w:t>W</w:t>
      </w:r>
      <w:r w:rsidR="005852A1" w:rsidRPr="00E54395">
        <w:rPr>
          <w:b/>
        </w:rPr>
        <w:t xml:space="preserve">hat businesses or companies seem to be the most receptive to hiring </w:t>
      </w:r>
      <w:r w:rsidR="005852A1" w:rsidRPr="00E54395">
        <w:rPr>
          <w:b/>
          <w:i/>
        </w:rPr>
        <w:t>Williams</w:t>
      </w:r>
      <w:r w:rsidR="005852A1" w:rsidRPr="00E54395">
        <w:rPr>
          <w:b/>
        </w:rPr>
        <w:t xml:space="preserve"> Class Members?</w:t>
      </w:r>
      <w:r w:rsidR="005852A1" w:rsidRPr="005852A1">
        <w:t xml:space="preserve">   </w:t>
      </w:r>
    </w:p>
    <w:p w:rsidR="00E54395" w:rsidRDefault="00E54395" w:rsidP="00E54395">
      <w:pPr>
        <w:pStyle w:val="ListParagraph"/>
        <w:ind w:left="720"/>
      </w:pPr>
    </w:p>
    <w:p w:rsidR="005852A1" w:rsidRDefault="005852A1" w:rsidP="00E54395">
      <w:pPr>
        <w:pStyle w:val="ListParagraph"/>
        <w:ind w:left="720"/>
      </w:pPr>
      <w:r w:rsidRPr="005852A1">
        <w:t>Feedback indicate</w:t>
      </w:r>
      <w:r w:rsidR="00E54395">
        <w:t>d</w:t>
      </w:r>
      <w:r w:rsidRPr="005852A1">
        <w:t xml:space="preserve"> that the IPS Supported Employment Program has a multitude of employers that are great advocates for persons in mental health recovery and are very receptive to work with IPS Employment Specialists and their IPS participants.  </w:t>
      </w:r>
      <w:r w:rsidR="00330236">
        <w:t xml:space="preserve">The top ten employers who have hired Class Members in Supported Employment are Jewel-Osco, Buffalo Wings &amp; Ring, Levy Restaurants, Macy’s Department Store, McDonald’s, Monterrey Security Services, NAMI, </w:t>
      </w:r>
      <w:proofErr w:type="spellStart"/>
      <w:r w:rsidR="00330236">
        <w:t>Strack</w:t>
      </w:r>
      <w:proofErr w:type="spellEnd"/>
      <w:r w:rsidR="00330236">
        <w:t xml:space="preserve"> &amp; Van </w:t>
      </w:r>
      <w:proofErr w:type="spellStart"/>
      <w:r w:rsidR="00330236">
        <w:t>Til</w:t>
      </w:r>
      <w:proofErr w:type="spellEnd"/>
      <w:r w:rsidR="00330236">
        <w:t>, T. J. Maxx and Walmart.</w:t>
      </w:r>
      <w:r w:rsidR="008F036A">
        <w:t xml:space="preserve">   </w:t>
      </w:r>
      <w:proofErr w:type="gramStart"/>
      <w:r w:rsidR="008F036A">
        <w:t>The majority of</w:t>
      </w:r>
      <w:proofErr w:type="gramEnd"/>
      <w:r w:rsidR="008F036A">
        <w:t xml:space="preserve"> jobs </w:t>
      </w:r>
      <w:r w:rsidR="006E550D">
        <w:t xml:space="preserve">secured in IPS </w:t>
      </w:r>
      <w:r w:rsidR="008F036A">
        <w:t>are in food services or related businesses, i.e., grocery stores.</w:t>
      </w:r>
    </w:p>
    <w:p w:rsidR="00E54395" w:rsidRPr="005852A1" w:rsidRDefault="00E54395" w:rsidP="00E54395">
      <w:pPr>
        <w:pStyle w:val="ListParagraph"/>
        <w:ind w:left="720"/>
      </w:pPr>
    </w:p>
    <w:p w:rsidR="005B1EFF" w:rsidRPr="009A6CC6" w:rsidRDefault="005B1EFF" w:rsidP="005B1EFF">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i/>
        </w:rPr>
      </w:pPr>
      <w:r>
        <w:rPr>
          <w:i/>
        </w:rPr>
        <w:t>Quality Administration – Quality Management and Quality Monitoring</w:t>
      </w:r>
    </w:p>
    <w:p w:rsidR="005B1EFF" w:rsidRPr="005B1EFF" w:rsidRDefault="005B1EFF" w:rsidP="005B1EFF">
      <w:pPr>
        <w:widowControl w:val="0"/>
        <w:spacing w:after="0"/>
      </w:pPr>
      <w:r>
        <w:t>Williams Quality Administration is composed of nine</w:t>
      </w:r>
      <w:r w:rsidRPr="005B1EFF">
        <w:t xml:space="preserve"> Quality Monitors, with disciplines that include psycholog</w:t>
      </w:r>
      <w:r>
        <w:t>y</w:t>
      </w:r>
      <w:r w:rsidRPr="005B1EFF">
        <w:t xml:space="preserve"> (2); social worker (3); and nursing (4).  Seven of nine Monitors are </w:t>
      </w:r>
      <w:r>
        <w:t>physically stationed</w:t>
      </w:r>
      <w:r w:rsidRPr="005B1EFF">
        <w:t xml:space="preserve"> </w:t>
      </w:r>
      <w:r>
        <w:t>in</w:t>
      </w:r>
      <w:r w:rsidRPr="005B1EFF">
        <w:t xml:space="preserve"> the Chicago Central Office</w:t>
      </w:r>
      <w:r>
        <w:t>, serving the metropolitan Chicago and the collar counties</w:t>
      </w:r>
      <w:r w:rsidRPr="005B1EFF">
        <w:t xml:space="preserve">.  The remaining two Monitors are </w:t>
      </w:r>
      <w:r>
        <w:t>stationed</w:t>
      </w:r>
      <w:r w:rsidRPr="005B1EFF">
        <w:t xml:space="preserve"> in</w:t>
      </w:r>
      <w:r>
        <w:t xml:space="preserve"> Pekin, Illinois,</w:t>
      </w:r>
      <w:r w:rsidRPr="005B1EFF">
        <w:t xml:space="preserve"> the </w:t>
      </w:r>
      <w:r>
        <w:t xml:space="preserve">DHS </w:t>
      </w:r>
      <w:r w:rsidRPr="005B1EFF">
        <w:t xml:space="preserve">Pekin </w:t>
      </w:r>
      <w:r>
        <w:t xml:space="preserve">Local </w:t>
      </w:r>
      <w:r w:rsidRPr="005B1EFF">
        <w:t>Office, serv</w:t>
      </w:r>
      <w:r>
        <w:t xml:space="preserve">ing the geographical areas surrounding the cities of </w:t>
      </w:r>
      <w:r w:rsidRPr="005B1EFF">
        <w:t>Peoria</w:t>
      </w:r>
      <w:r>
        <w:t xml:space="preserve"> and</w:t>
      </w:r>
      <w:r w:rsidRPr="005B1EFF">
        <w:t xml:space="preserve"> Decatur.  Williams Quality Monitors </w:t>
      </w:r>
      <w:r>
        <w:t xml:space="preserve">maintain </w:t>
      </w:r>
      <w:r w:rsidRPr="005B1EFF">
        <w:t>responsib</w:t>
      </w:r>
      <w:r>
        <w:t>ility</w:t>
      </w:r>
      <w:r w:rsidRPr="005B1EFF">
        <w:t xml:space="preserve"> for monitoring the quality of care, quality of life, community integration and the quality of services provided to Class Members</w:t>
      </w:r>
      <w:r w:rsidR="001A31D7">
        <w:t>.</w:t>
      </w:r>
      <w:r w:rsidRPr="005B1EFF">
        <w:t xml:space="preserve"> </w:t>
      </w:r>
    </w:p>
    <w:p w:rsidR="005B1EFF" w:rsidRPr="005B1EFF" w:rsidRDefault="005B1EFF" w:rsidP="005B1EFF">
      <w:pPr>
        <w:widowControl w:val="0"/>
        <w:spacing w:after="0"/>
        <w:rPr>
          <w:i/>
        </w:rPr>
      </w:pPr>
    </w:p>
    <w:p w:rsidR="005B1EFF" w:rsidRPr="00C92248" w:rsidRDefault="005B1EFF" w:rsidP="005B1EFF">
      <w:pPr>
        <w:widowControl w:val="0"/>
        <w:spacing w:after="0"/>
        <w:rPr>
          <w:b/>
        </w:rPr>
      </w:pPr>
      <w:r w:rsidRPr="00C92248">
        <w:rPr>
          <w:b/>
        </w:rPr>
        <w:t>Home Visits</w:t>
      </w:r>
    </w:p>
    <w:p w:rsidR="005B1EFF" w:rsidRPr="005B1EFF" w:rsidRDefault="005B1EFF" w:rsidP="00F32EA1">
      <w:pPr>
        <w:widowControl w:val="0"/>
        <w:spacing w:after="0"/>
        <w:ind w:right="288"/>
        <w:jc w:val="center"/>
      </w:pPr>
    </w:p>
    <w:p w:rsidR="00083A79" w:rsidRPr="001F7268" w:rsidRDefault="005B1EFF" w:rsidP="00083A79">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pPr>
      <w:r w:rsidRPr="005B1EFF">
        <w:rPr>
          <w:rFonts w:eastAsia="Calibri"/>
        </w:rPr>
        <w:t>Williams Quality Monitors are responsib</w:t>
      </w:r>
      <w:r w:rsidR="00F32EA1">
        <w:rPr>
          <w:rFonts w:eastAsia="Calibri"/>
        </w:rPr>
        <w:t xml:space="preserve">le for conducting home visits. </w:t>
      </w:r>
      <w:r w:rsidRPr="005B1EFF">
        <w:rPr>
          <w:rFonts w:eastAsia="Calibri"/>
        </w:rPr>
        <w:t xml:space="preserve">The initial home visit is conducted within 30 </w:t>
      </w:r>
      <w:r>
        <w:rPr>
          <w:rFonts w:eastAsia="Calibri"/>
        </w:rPr>
        <w:t>d</w:t>
      </w:r>
      <w:r w:rsidR="001A31D7">
        <w:rPr>
          <w:rFonts w:eastAsia="Calibri"/>
        </w:rPr>
        <w:t>ays</w:t>
      </w:r>
      <w:r>
        <w:rPr>
          <w:rFonts w:eastAsia="Calibri"/>
        </w:rPr>
        <w:t xml:space="preserve"> post</w:t>
      </w:r>
      <w:r w:rsidRPr="005B1EFF">
        <w:rPr>
          <w:rFonts w:eastAsia="Calibri"/>
        </w:rPr>
        <w:t xml:space="preserve"> transition, with subsequent visits conducted at 3 </w:t>
      </w:r>
      <w:r>
        <w:rPr>
          <w:rFonts w:eastAsia="Calibri"/>
        </w:rPr>
        <w:t>m</w:t>
      </w:r>
      <w:r w:rsidRPr="005B1EFF">
        <w:rPr>
          <w:rFonts w:eastAsia="Calibri"/>
        </w:rPr>
        <w:t>onth</w:t>
      </w:r>
      <w:r>
        <w:rPr>
          <w:rFonts w:eastAsia="Calibri"/>
        </w:rPr>
        <w:t>s</w:t>
      </w:r>
      <w:r w:rsidRPr="005B1EFF">
        <w:rPr>
          <w:rFonts w:eastAsia="Calibri"/>
        </w:rPr>
        <w:t xml:space="preserve">, 6 </w:t>
      </w:r>
      <w:r>
        <w:rPr>
          <w:rFonts w:eastAsia="Calibri"/>
        </w:rPr>
        <w:t xml:space="preserve">months, annually </w:t>
      </w:r>
      <w:r w:rsidRPr="005B1EFF">
        <w:rPr>
          <w:rFonts w:eastAsia="Calibri"/>
        </w:rPr>
        <w:t xml:space="preserve">and 18 </w:t>
      </w:r>
      <w:r>
        <w:rPr>
          <w:rFonts w:eastAsia="Calibri"/>
        </w:rPr>
        <w:t>m</w:t>
      </w:r>
      <w:r w:rsidRPr="005B1EFF">
        <w:rPr>
          <w:rFonts w:eastAsia="Calibri"/>
        </w:rPr>
        <w:t>onth</w:t>
      </w:r>
      <w:r>
        <w:rPr>
          <w:rFonts w:eastAsia="Calibri"/>
        </w:rPr>
        <w:t>s</w:t>
      </w:r>
      <w:r w:rsidRPr="005B1EFF">
        <w:rPr>
          <w:rFonts w:eastAsia="Calibri"/>
        </w:rPr>
        <w:t xml:space="preserve"> post transition. </w:t>
      </w:r>
      <w:r>
        <w:rPr>
          <w:rFonts w:eastAsia="Calibri"/>
        </w:rPr>
        <w:t>I</w:t>
      </w:r>
      <w:r w:rsidRPr="005B1EFF">
        <w:rPr>
          <w:rFonts w:eastAsia="Calibri"/>
        </w:rPr>
        <w:t>n some instances</w:t>
      </w:r>
      <w:r>
        <w:rPr>
          <w:rFonts w:eastAsia="Calibri"/>
        </w:rPr>
        <w:t xml:space="preserve">, </w:t>
      </w:r>
      <w:r w:rsidRPr="005B1EFF">
        <w:rPr>
          <w:rFonts w:eastAsia="Calibri"/>
        </w:rPr>
        <w:t>Quality Monitor</w:t>
      </w:r>
      <w:r w:rsidR="001A31D7">
        <w:rPr>
          <w:rFonts w:eastAsia="Calibri"/>
        </w:rPr>
        <w:t>s</w:t>
      </w:r>
      <w:r w:rsidRPr="005B1EFF">
        <w:rPr>
          <w:rFonts w:eastAsia="Calibri"/>
        </w:rPr>
        <w:t xml:space="preserve"> may determine that due to unresolved issues a Class Member may require more frequent or intermittent visits</w:t>
      </w:r>
      <w:r>
        <w:rPr>
          <w:rFonts w:eastAsia="Calibri"/>
        </w:rPr>
        <w:t xml:space="preserve"> in between </w:t>
      </w:r>
      <w:r w:rsidR="001A31D7">
        <w:rPr>
          <w:rFonts w:eastAsia="Calibri"/>
        </w:rPr>
        <w:t>scheduled</w:t>
      </w:r>
      <w:r w:rsidRPr="005B1EFF">
        <w:rPr>
          <w:rFonts w:eastAsia="Calibri"/>
        </w:rPr>
        <w:t xml:space="preserve"> visit</w:t>
      </w:r>
      <w:r w:rsidR="001A31D7">
        <w:rPr>
          <w:rFonts w:eastAsia="Calibri"/>
        </w:rPr>
        <w:t>s</w:t>
      </w:r>
      <w:r w:rsidR="00F32EA1">
        <w:rPr>
          <w:rFonts w:eastAsia="Calibri"/>
        </w:rPr>
        <w:t xml:space="preserve">. </w:t>
      </w:r>
      <w:r>
        <w:rPr>
          <w:rFonts w:eastAsia="Calibri"/>
        </w:rPr>
        <w:t xml:space="preserve">Should this occur, </w:t>
      </w:r>
      <w:r w:rsidRPr="005B1EFF">
        <w:rPr>
          <w:rFonts w:eastAsia="Calibri"/>
        </w:rPr>
        <w:t xml:space="preserve">the Quality Monitor will conduct </w:t>
      </w:r>
      <w:r w:rsidR="001A31D7">
        <w:rPr>
          <w:rFonts w:eastAsia="Calibri"/>
        </w:rPr>
        <w:t xml:space="preserve">an </w:t>
      </w:r>
      <w:r w:rsidR="00F32EA1">
        <w:rPr>
          <w:rFonts w:eastAsia="Calibri"/>
        </w:rPr>
        <w:t xml:space="preserve">unscheduled visit. </w:t>
      </w:r>
      <w:r w:rsidRPr="005B1EFF">
        <w:rPr>
          <w:rFonts w:eastAsia="Calibri"/>
        </w:rPr>
        <w:t>The purpose of the home visit is to determine the following:  1) comprehensive service plans accurately reflects the Class Member</w:t>
      </w:r>
      <w:r w:rsidR="001A31D7">
        <w:rPr>
          <w:rFonts w:eastAsia="Calibri"/>
        </w:rPr>
        <w:t>’</w:t>
      </w:r>
      <w:r w:rsidRPr="005B1EFF">
        <w:rPr>
          <w:rFonts w:eastAsia="Calibri"/>
        </w:rPr>
        <w:t>s needs and goals; 2) Class Member</w:t>
      </w:r>
      <w:r w:rsidR="001A31D7">
        <w:rPr>
          <w:rFonts w:eastAsia="Calibri"/>
        </w:rPr>
        <w:t>’</w:t>
      </w:r>
      <w:r w:rsidRPr="005B1EFF">
        <w:rPr>
          <w:rFonts w:eastAsia="Calibri"/>
        </w:rPr>
        <w:t>s living environment</w:t>
      </w:r>
      <w:r w:rsidR="001A31D7">
        <w:rPr>
          <w:rFonts w:eastAsia="Calibri"/>
        </w:rPr>
        <w:t xml:space="preserve"> is</w:t>
      </w:r>
      <w:r w:rsidRPr="005B1EFF">
        <w:rPr>
          <w:rFonts w:eastAsia="Calibri"/>
        </w:rPr>
        <w:t xml:space="preserve"> safe and suitable for habitation; and 3) Class Member</w:t>
      </w:r>
      <w:r w:rsidR="001A31D7">
        <w:rPr>
          <w:rFonts w:eastAsia="Calibri"/>
        </w:rPr>
        <w:t xml:space="preserve"> is</w:t>
      </w:r>
      <w:r w:rsidRPr="005B1EFF">
        <w:rPr>
          <w:rFonts w:eastAsia="Calibri"/>
        </w:rPr>
        <w:t xml:space="preserve"> adequately adapting to community reintegration.  </w:t>
      </w:r>
      <w:r w:rsidR="00083A79">
        <w:rPr>
          <w:rFonts w:eastAsia="Calibri"/>
        </w:rPr>
        <w:t xml:space="preserve"> </w:t>
      </w:r>
      <w:r w:rsidR="00083A79">
        <w:t>There is no existing database to confirm 1), 2) or 3).</w:t>
      </w:r>
    </w:p>
    <w:p w:rsidR="005B1EFF" w:rsidRPr="005B1EFF" w:rsidRDefault="005B1EFF" w:rsidP="005B1EFF">
      <w:pPr>
        <w:widowControl w:val="0"/>
        <w:spacing w:after="0"/>
        <w:ind w:right="288"/>
        <w:rPr>
          <w:rFonts w:eastAsia="Calibri"/>
        </w:rPr>
      </w:pPr>
    </w:p>
    <w:p w:rsidR="005B1EFF" w:rsidRPr="005B1EFF" w:rsidRDefault="005B1EFF" w:rsidP="005B1EFF">
      <w:pPr>
        <w:widowControl w:val="0"/>
        <w:spacing w:after="0"/>
        <w:ind w:right="288"/>
        <w:rPr>
          <w:rFonts w:eastAsia="Calibri"/>
        </w:rPr>
      </w:pPr>
    </w:p>
    <w:p w:rsidR="005B1EFF" w:rsidRDefault="005B1EFF" w:rsidP="005B1EFF">
      <w:pPr>
        <w:widowControl w:val="0"/>
        <w:spacing w:after="0"/>
        <w:ind w:right="288"/>
        <w:rPr>
          <w:rFonts w:eastAsia="Calibri"/>
        </w:rPr>
      </w:pPr>
      <w:r w:rsidRPr="005B1EFF">
        <w:rPr>
          <w:rFonts w:eastAsia="Calibri"/>
        </w:rPr>
        <w:t>During the</w:t>
      </w:r>
      <w:r w:rsidR="00031FEC">
        <w:rPr>
          <w:rFonts w:eastAsia="Calibri"/>
        </w:rPr>
        <w:t xml:space="preserve"> current</w:t>
      </w:r>
      <w:r w:rsidRPr="005B1EFF">
        <w:rPr>
          <w:rFonts w:eastAsia="Calibri"/>
        </w:rPr>
        <w:t xml:space="preserve"> reporting period, Quality Monitors conducted a total of 619</w:t>
      </w:r>
      <w:r w:rsidR="001A31D7">
        <w:rPr>
          <w:rFonts w:eastAsia="Calibri"/>
        </w:rPr>
        <w:t xml:space="preserve"> </w:t>
      </w:r>
      <w:r w:rsidR="00A66918">
        <w:rPr>
          <w:rFonts w:eastAsia="Calibri"/>
        </w:rPr>
        <w:t xml:space="preserve">(duplicate) </w:t>
      </w:r>
      <w:r w:rsidR="001A31D7">
        <w:rPr>
          <w:rFonts w:eastAsia="Calibri"/>
        </w:rPr>
        <w:t>home visits</w:t>
      </w:r>
      <w:r w:rsidR="00A66918">
        <w:rPr>
          <w:rFonts w:eastAsia="Calibri"/>
        </w:rPr>
        <w:t>, across all visit types</w:t>
      </w:r>
      <w:r w:rsidR="00F71EE3">
        <w:rPr>
          <w:rFonts w:eastAsia="Calibri"/>
        </w:rPr>
        <w:t xml:space="preserve"> (s</w:t>
      </w:r>
      <w:r w:rsidR="00A66918">
        <w:rPr>
          <w:rFonts w:eastAsia="Calibri"/>
        </w:rPr>
        <w:t>ee below</w:t>
      </w:r>
      <w:r w:rsidR="00F71EE3">
        <w:rPr>
          <w:rFonts w:eastAsia="Calibri"/>
        </w:rPr>
        <w:t>)</w:t>
      </w:r>
      <w:r w:rsidR="00A66918">
        <w:rPr>
          <w:rFonts w:eastAsia="Calibri"/>
        </w:rPr>
        <w:t xml:space="preserve">. </w:t>
      </w:r>
      <w:r w:rsidR="00083A79">
        <w:rPr>
          <w:rFonts w:eastAsia="Calibri"/>
        </w:rPr>
        <w:t xml:space="preserve"> </w:t>
      </w:r>
      <w:r w:rsidR="006E550D">
        <w:rPr>
          <w:rFonts w:eastAsia="Calibri"/>
        </w:rPr>
        <w:t xml:space="preserve">Quality </w:t>
      </w:r>
      <w:r w:rsidR="00A66918">
        <w:rPr>
          <w:rFonts w:eastAsia="Calibri"/>
        </w:rPr>
        <w:t>Monitors confirm that the service plan documentation</w:t>
      </w:r>
      <w:r w:rsidR="00F71EE3">
        <w:rPr>
          <w:rFonts w:eastAsia="Calibri"/>
        </w:rPr>
        <w:t xml:space="preserve"> is</w:t>
      </w:r>
      <w:r w:rsidR="00A66918">
        <w:rPr>
          <w:rFonts w:eastAsia="Calibri"/>
        </w:rPr>
        <w:t xml:space="preserve"> in the</w:t>
      </w:r>
      <w:r w:rsidR="006E550D">
        <w:rPr>
          <w:rFonts w:eastAsia="Calibri"/>
        </w:rPr>
        <w:t xml:space="preserve"> clinical record</w:t>
      </w:r>
      <w:r w:rsidR="00F71EE3">
        <w:rPr>
          <w:rFonts w:eastAsia="Calibri"/>
        </w:rPr>
        <w:t xml:space="preserve">.  </w:t>
      </w:r>
      <w:r w:rsidR="00031FEC">
        <w:rPr>
          <w:rFonts w:eastAsia="Calibri"/>
        </w:rPr>
        <w:t>C</w:t>
      </w:r>
      <w:r w:rsidR="00A66918">
        <w:rPr>
          <w:rFonts w:eastAsia="Calibri"/>
        </w:rPr>
        <w:t>onfirmation</w:t>
      </w:r>
      <w:r w:rsidR="00031FEC">
        <w:rPr>
          <w:rFonts w:eastAsia="Calibri"/>
        </w:rPr>
        <w:t xml:space="preserve"> is submitted</w:t>
      </w:r>
      <w:r w:rsidR="00A66918">
        <w:rPr>
          <w:rFonts w:eastAsia="Calibri"/>
        </w:rPr>
        <w:t xml:space="preserve"> </w:t>
      </w:r>
      <w:r w:rsidR="00F71EE3">
        <w:rPr>
          <w:rFonts w:eastAsia="Calibri"/>
        </w:rPr>
        <w:t xml:space="preserve">to DMH </w:t>
      </w:r>
      <w:r w:rsidR="00A66918">
        <w:rPr>
          <w:rFonts w:eastAsia="Calibri"/>
        </w:rPr>
        <w:t xml:space="preserve">in a narrative report prior to the home visit.  As of June 30, 2018, there were </w:t>
      </w:r>
      <w:r w:rsidR="00083A79">
        <w:rPr>
          <w:rFonts w:eastAsia="Calibri"/>
        </w:rPr>
        <w:t xml:space="preserve">412 </w:t>
      </w:r>
      <w:r w:rsidR="00A66918">
        <w:rPr>
          <w:rFonts w:eastAsia="Calibri"/>
        </w:rPr>
        <w:t xml:space="preserve">(unduplicated) </w:t>
      </w:r>
      <w:r w:rsidR="00083A79">
        <w:rPr>
          <w:rFonts w:eastAsia="Calibri"/>
        </w:rPr>
        <w:t xml:space="preserve">Class Members </w:t>
      </w:r>
      <w:r w:rsidR="00A66918">
        <w:rPr>
          <w:rFonts w:eastAsia="Calibri"/>
        </w:rPr>
        <w:t>who were ‘eligible’ for a Quality Monitoring visit</w:t>
      </w:r>
      <w:r w:rsidR="00F71EE3">
        <w:rPr>
          <w:rFonts w:eastAsia="Calibri"/>
        </w:rPr>
        <w:t xml:space="preserve"> - </w:t>
      </w:r>
      <w:r w:rsidR="00A66918">
        <w:rPr>
          <w:rFonts w:eastAsia="Calibri"/>
        </w:rPr>
        <w:t xml:space="preserve"> who have resided in the community </w:t>
      </w:r>
      <w:r w:rsidR="00F71EE3">
        <w:rPr>
          <w:rFonts w:eastAsia="Calibri"/>
        </w:rPr>
        <w:t xml:space="preserve">for </w:t>
      </w:r>
      <w:r w:rsidR="00A66918">
        <w:rPr>
          <w:rFonts w:eastAsia="Calibri"/>
        </w:rPr>
        <w:t xml:space="preserve">18 months or less.      </w:t>
      </w:r>
    </w:p>
    <w:p w:rsidR="00C37687" w:rsidRPr="005B1EFF" w:rsidRDefault="00C37687" w:rsidP="005B1EFF">
      <w:pPr>
        <w:widowControl w:val="0"/>
        <w:spacing w:after="0"/>
        <w:ind w:right="288"/>
        <w:rPr>
          <w:rFonts w:eastAsia="Calibri"/>
        </w:rPr>
      </w:pPr>
    </w:p>
    <w:p w:rsidR="005B1EFF" w:rsidRDefault="00C37687" w:rsidP="005B1EFF">
      <w:pPr>
        <w:widowControl w:val="0"/>
        <w:spacing w:after="0"/>
        <w:ind w:right="288"/>
        <w:rPr>
          <w:rFonts w:eastAsia="Calibri"/>
        </w:rPr>
      </w:pPr>
      <w:r>
        <w:rPr>
          <w:rFonts w:eastAsia="Calibri"/>
        </w:rPr>
        <w:t>During FY18, Quality Monitors conducted a total of 1,419</w:t>
      </w:r>
      <w:r w:rsidR="00F71EE3">
        <w:rPr>
          <w:rFonts w:eastAsia="Calibri"/>
        </w:rPr>
        <w:t xml:space="preserve"> (baseline)</w:t>
      </w:r>
      <w:r>
        <w:rPr>
          <w:rFonts w:eastAsia="Calibri"/>
        </w:rPr>
        <w:t xml:space="preserve"> Quality Monitoring visits, either in the home or </w:t>
      </w:r>
      <w:r w:rsidR="00F71EE3">
        <w:rPr>
          <w:rFonts w:eastAsia="Calibri"/>
        </w:rPr>
        <w:t xml:space="preserve">an </w:t>
      </w:r>
      <w:r>
        <w:rPr>
          <w:rFonts w:eastAsia="Calibri"/>
        </w:rPr>
        <w:t>environment of preference as identified by the Class Member.</w:t>
      </w:r>
    </w:p>
    <w:p w:rsidR="00C37687" w:rsidRPr="005B1EFF" w:rsidRDefault="00C37687" w:rsidP="005B1EFF">
      <w:pPr>
        <w:widowControl w:val="0"/>
        <w:spacing w:after="0"/>
        <w:ind w:right="288"/>
        <w:rPr>
          <w:rFonts w:eastAsia="Calibri"/>
        </w:rPr>
      </w:pPr>
    </w:p>
    <w:tbl>
      <w:tblPr>
        <w:tblStyle w:val="TableGrid1"/>
        <w:tblW w:w="0" w:type="auto"/>
        <w:tblLook w:val="04A0" w:firstRow="1" w:lastRow="0" w:firstColumn="1" w:lastColumn="0" w:noHBand="0" w:noVBand="1"/>
      </w:tblPr>
      <w:tblGrid>
        <w:gridCol w:w="2268"/>
        <w:gridCol w:w="2160"/>
        <w:gridCol w:w="1514"/>
      </w:tblGrid>
      <w:tr w:rsidR="005B1EFF" w:rsidRPr="005B1EFF" w:rsidTr="003902D0">
        <w:trPr>
          <w:trHeight w:val="512"/>
        </w:trPr>
        <w:tc>
          <w:tcPr>
            <w:tcW w:w="2268" w:type="dxa"/>
            <w:shd w:val="clear" w:color="auto" w:fill="DDD9C3" w:themeFill="background2" w:themeFillShade="E6"/>
          </w:tcPr>
          <w:p w:rsidR="005B1EFF" w:rsidRPr="005B1EFF" w:rsidRDefault="005B1EFF" w:rsidP="005B1EFF">
            <w:pPr>
              <w:widowControl w:val="0"/>
              <w:ind w:right="288"/>
              <w:jc w:val="center"/>
              <w:rPr>
                <w:rFonts w:eastAsia="Calibri"/>
              </w:rPr>
            </w:pPr>
            <w:bookmarkStart w:id="8" w:name="_Hlk519581347"/>
          </w:p>
          <w:p w:rsidR="005B1EFF" w:rsidRPr="005B1EFF" w:rsidRDefault="005B1EFF" w:rsidP="005B1EFF">
            <w:pPr>
              <w:widowControl w:val="0"/>
              <w:ind w:right="288"/>
              <w:jc w:val="center"/>
              <w:rPr>
                <w:rFonts w:eastAsia="Calibri"/>
              </w:rPr>
            </w:pPr>
            <w:r w:rsidRPr="005B1EFF">
              <w:rPr>
                <w:rFonts w:eastAsia="Calibri"/>
              </w:rPr>
              <w:t>Type of Home Visit</w:t>
            </w:r>
          </w:p>
        </w:tc>
        <w:tc>
          <w:tcPr>
            <w:tcW w:w="2160" w:type="dxa"/>
            <w:shd w:val="clear" w:color="auto" w:fill="DDD9C3" w:themeFill="background2" w:themeFillShade="E6"/>
          </w:tcPr>
          <w:p w:rsidR="005B1EFF" w:rsidRPr="005B1EFF" w:rsidRDefault="005B1EFF" w:rsidP="005B1EFF">
            <w:pPr>
              <w:widowControl w:val="0"/>
              <w:ind w:right="288"/>
              <w:jc w:val="center"/>
              <w:rPr>
                <w:rFonts w:eastAsia="Calibri"/>
              </w:rPr>
            </w:pPr>
          </w:p>
          <w:p w:rsidR="005B1EFF" w:rsidRPr="005B1EFF" w:rsidRDefault="005B1EFF" w:rsidP="005B1EFF">
            <w:pPr>
              <w:widowControl w:val="0"/>
              <w:ind w:right="288"/>
              <w:jc w:val="center"/>
              <w:rPr>
                <w:rFonts w:eastAsia="Calibri"/>
              </w:rPr>
            </w:pPr>
            <w:r w:rsidRPr="005B1EFF">
              <w:rPr>
                <w:rFonts w:eastAsia="Calibri"/>
              </w:rPr>
              <w:t>Number of Visits</w:t>
            </w:r>
          </w:p>
        </w:tc>
        <w:tc>
          <w:tcPr>
            <w:tcW w:w="1440" w:type="dxa"/>
            <w:shd w:val="clear" w:color="auto" w:fill="DDD9C3" w:themeFill="background2" w:themeFillShade="E6"/>
          </w:tcPr>
          <w:p w:rsidR="005B1EFF" w:rsidRPr="005B1EFF" w:rsidRDefault="005B1EFF" w:rsidP="005B1EFF">
            <w:pPr>
              <w:widowControl w:val="0"/>
              <w:ind w:right="288"/>
              <w:jc w:val="center"/>
              <w:rPr>
                <w:rFonts w:eastAsia="Calibri"/>
              </w:rPr>
            </w:pPr>
          </w:p>
          <w:p w:rsidR="005B1EFF" w:rsidRPr="005B1EFF" w:rsidRDefault="005B1EFF" w:rsidP="005B1EFF">
            <w:pPr>
              <w:widowControl w:val="0"/>
              <w:ind w:right="288"/>
              <w:jc w:val="center"/>
              <w:rPr>
                <w:rFonts w:eastAsia="Calibri"/>
              </w:rPr>
            </w:pPr>
            <w:r w:rsidRPr="005B1EFF">
              <w:rPr>
                <w:rFonts w:eastAsia="Calibri"/>
              </w:rPr>
              <w:t>Percentage</w:t>
            </w:r>
          </w:p>
        </w:tc>
      </w:tr>
      <w:tr w:rsidR="005B1EFF" w:rsidRPr="005B1EFF" w:rsidTr="003902D0">
        <w:tc>
          <w:tcPr>
            <w:tcW w:w="2268" w:type="dxa"/>
          </w:tcPr>
          <w:p w:rsidR="005B1EFF" w:rsidRPr="005B1EFF" w:rsidRDefault="005B1EFF" w:rsidP="005B1EFF">
            <w:pPr>
              <w:widowControl w:val="0"/>
              <w:ind w:right="288"/>
              <w:jc w:val="center"/>
              <w:rPr>
                <w:rFonts w:eastAsia="Calibri"/>
              </w:rPr>
            </w:pPr>
            <w:r w:rsidRPr="005B1EFF">
              <w:rPr>
                <w:rFonts w:eastAsia="Calibri"/>
              </w:rPr>
              <w:t>30 Day</w:t>
            </w:r>
          </w:p>
        </w:tc>
        <w:tc>
          <w:tcPr>
            <w:tcW w:w="2160" w:type="dxa"/>
          </w:tcPr>
          <w:p w:rsidR="005B1EFF" w:rsidRPr="005B1EFF" w:rsidRDefault="00C37687" w:rsidP="005B1EFF">
            <w:pPr>
              <w:widowControl w:val="0"/>
              <w:ind w:right="288"/>
              <w:jc w:val="center"/>
              <w:rPr>
                <w:rFonts w:eastAsia="Calibri"/>
              </w:rPr>
            </w:pPr>
            <w:r>
              <w:rPr>
                <w:rFonts w:eastAsia="Calibri"/>
              </w:rPr>
              <w:t xml:space="preserve">  269</w:t>
            </w:r>
          </w:p>
        </w:tc>
        <w:tc>
          <w:tcPr>
            <w:tcW w:w="1440" w:type="dxa"/>
          </w:tcPr>
          <w:p w:rsidR="005B1EFF" w:rsidRPr="005B1EFF" w:rsidRDefault="005B1EFF" w:rsidP="005B1EFF">
            <w:pPr>
              <w:widowControl w:val="0"/>
              <w:ind w:right="288"/>
              <w:jc w:val="center"/>
              <w:rPr>
                <w:rFonts w:eastAsia="Calibri"/>
              </w:rPr>
            </w:pPr>
            <w:r w:rsidRPr="005B1EFF">
              <w:rPr>
                <w:rFonts w:eastAsia="Calibri"/>
              </w:rPr>
              <w:t>19%</w:t>
            </w:r>
          </w:p>
        </w:tc>
      </w:tr>
      <w:tr w:rsidR="005B1EFF" w:rsidRPr="005B1EFF" w:rsidTr="003902D0">
        <w:tc>
          <w:tcPr>
            <w:tcW w:w="2268" w:type="dxa"/>
          </w:tcPr>
          <w:p w:rsidR="005B1EFF" w:rsidRPr="005B1EFF" w:rsidRDefault="005B1EFF" w:rsidP="005B1EFF">
            <w:pPr>
              <w:widowControl w:val="0"/>
              <w:ind w:right="288"/>
              <w:jc w:val="center"/>
              <w:rPr>
                <w:rFonts w:eastAsia="Calibri"/>
              </w:rPr>
            </w:pPr>
            <w:r w:rsidRPr="005B1EFF">
              <w:rPr>
                <w:rFonts w:eastAsia="Calibri"/>
              </w:rPr>
              <w:t>3 Month</w:t>
            </w:r>
          </w:p>
        </w:tc>
        <w:tc>
          <w:tcPr>
            <w:tcW w:w="2160" w:type="dxa"/>
          </w:tcPr>
          <w:p w:rsidR="005B1EFF" w:rsidRPr="005B1EFF" w:rsidRDefault="00C37687" w:rsidP="005B1EFF">
            <w:pPr>
              <w:widowControl w:val="0"/>
              <w:ind w:right="288"/>
              <w:jc w:val="center"/>
              <w:rPr>
                <w:rFonts w:eastAsia="Calibri"/>
              </w:rPr>
            </w:pPr>
            <w:r>
              <w:rPr>
                <w:rFonts w:eastAsia="Calibri"/>
              </w:rPr>
              <w:t xml:space="preserve">  287</w:t>
            </w:r>
          </w:p>
        </w:tc>
        <w:tc>
          <w:tcPr>
            <w:tcW w:w="1440" w:type="dxa"/>
          </w:tcPr>
          <w:p w:rsidR="005B1EFF" w:rsidRPr="005B1EFF" w:rsidRDefault="00C37687" w:rsidP="005B1EFF">
            <w:pPr>
              <w:widowControl w:val="0"/>
              <w:ind w:right="288"/>
              <w:jc w:val="center"/>
              <w:rPr>
                <w:rFonts w:eastAsia="Calibri"/>
              </w:rPr>
            </w:pPr>
            <w:r>
              <w:rPr>
                <w:rFonts w:eastAsia="Calibri"/>
              </w:rPr>
              <w:t xml:space="preserve">  20%</w:t>
            </w:r>
          </w:p>
        </w:tc>
      </w:tr>
      <w:tr w:rsidR="005B1EFF" w:rsidRPr="005B1EFF" w:rsidTr="003902D0">
        <w:tc>
          <w:tcPr>
            <w:tcW w:w="2268" w:type="dxa"/>
          </w:tcPr>
          <w:p w:rsidR="005B1EFF" w:rsidRPr="005B1EFF" w:rsidRDefault="005B1EFF" w:rsidP="005B1EFF">
            <w:pPr>
              <w:widowControl w:val="0"/>
              <w:ind w:right="288"/>
              <w:jc w:val="center"/>
              <w:rPr>
                <w:rFonts w:eastAsia="Calibri"/>
              </w:rPr>
            </w:pPr>
            <w:r w:rsidRPr="005B1EFF">
              <w:rPr>
                <w:rFonts w:eastAsia="Calibri"/>
              </w:rPr>
              <w:t>6 Month</w:t>
            </w:r>
          </w:p>
        </w:tc>
        <w:tc>
          <w:tcPr>
            <w:tcW w:w="2160" w:type="dxa"/>
          </w:tcPr>
          <w:p w:rsidR="005B1EFF" w:rsidRPr="005B1EFF" w:rsidRDefault="00C37687" w:rsidP="005B1EFF">
            <w:pPr>
              <w:widowControl w:val="0"/>
              <w:ind w:right="288"/>
              <w:jc w:val="center"/>
              <w:rPr>
                <w:rFonts w:eastAsia="Calibri"/>
              </w:rPr>
            </w:pPr>
            <w:r>
              <w:rPr>
                <w:rFonts w:eastAsia="Calibri"/>
              </w:rPr>
              <w:t xml:space="preserve">  292</w:t>
            </w:r>
          </w:p>
        </w:tc>
        <w:tc>
          <w:tcPr>
            <w:tcW w:w="1440" w:type="dxa"/>
          </w:tcPr>
          <w:p w:rsidR="005B1EFF" w:rsidRPr="005B1EFF" w:rsidRDefault="00C37687" w:rsidP="005B1EFF">
            <w:pPr>
              <w:widowControl w:val="0"/>
              <w:ind w:right="288"/>
              <w:jc w:val="center"/>
              <w:rPr>
                <w:rFonts w:eastAsia="Calibri"/>
              </w:rPr>
            </w:pPr>
            <w:r>
              <w:rPr>
                <w:rFonts w:eastAsia="Calibri"/>
              </w:rPr>
              <w:t xml:space="preserve">  20%</w:t>
            </w:r>
          </w:p>
        </w:tc>
      </w:tr>
      <w:tr w:rsidR="005B1EFF" w:rsidRPr="005B1EFF" w:rsidTr="003902D0">
        <w:tc>
          <w:tcPr>
            <w:tcW w:w="2268" w:type="dxa"/>
          </w:tcPr>
          <w:p w:rsidR="005B1EFF" w:rsidRPr="005B1EFF" w:rsidRDefault="005B1EFF" w:rsidP="005B1EFF">
            <w:pPr>
              <w:widowControl w:val="0"/>
              <w:ind w:right="288"/>
              <w:jc w:val="center"/>
              <w:rPr>
                <w:rFonts w:eastAsia="Calibri"/>
              </w:rPr>
            </w:pPr>
            <w:r w:rsidRPr="005B1EFF">
              <w:rPr>
                <w:rFonts w:eastAsia="Calibri"/>
              </w:rPr>
              <w:t>12 Month</w:t>
            </w:r>
          </w:p>
        </w:tc>
        <w:tc>
          <w:tcPr>
            <w:tcW w:w="2160" w:type="dxa"/>
          </w:tcPr>
          <w:p w:rsidR="005B1EFF" w:rsidRPr="005B1EFF" w:rsidRDefault="00C37687" w:rsidP="005B1EFF">
            <w:pPr>
              <w:widowControl w:val="0"/>
              <w:ind w:right="288"/>
              <w:jc w:val="center"/>
              <w:rPr>
                <w:rFonts w:eastAsia="Calibri"/>
              </w:rPr>
            </w:pPr>
            <w:r>
              <w:rPr>
                <w:rFonts w:eastAsia="Calibri"/>
              </w:rPr>
              <w:t xml:space="preserve">  266</w:t>
            </w:r>
          </w:p>
        </w:tc>
        <w:tc>
          <w:tcPr>
            <w:tcW w:w="1440" w:type="dxa"/>
          </w:tcPr>
          <w:p w:rsidR="005B1EFF" w:rsidRPr="005B1EFF" w:rsidRDefault="00C37687" w:rsidP="005B1EFF">
            <w:pPr>
              <w:widowControl w:val="0"/>
              <w:ind w:right="288"/>
              <w:jc w:val="center"/>
              <w:rPr>
                <w:rFonts w:eastAsia="Calibri"/>
              </w:rPr>
            </w:pPr>
            <w:r>
              <w:rPr>
                <w:rFonts w:eastAsia="Calibri"/>
              </w:rPr>
              <w:t xml:space="preserve">  19%</w:t>
            </w:r>
          </w:p>
        </w:tc>
      </w:tr>
      <w:tr w:rsidR="005B1EFF" w:rsidRPr="005B1EFF" w:rsidTr="003902D0">
        <w:tc>
          <w:tcPr>
            <w:tcW w:w="2268" w:type="dxa"/>
          </w:tcPr>
          <w:p w:rsidR="005B1EFF" w:rsidRPr="005B1EFF" w:rsidRDefault="005B1EFF" w:rsidP="005B1EFF">
            <w:pPr>
              <w:widowControl w:val="0"/>
              <w:ind w:right="288"/>
              <w:jc w:val="center"/>
              <w:rPr>
                <w:rFonts w:eastAsia="Calibri"/>
              </w:rPr>
            </w:pPr>
            <w:r w:rsidRPr="005B1EFF">
              <w:rPr>
                <w:rFonts w:eastAsia="Calibri"/>
              </w:rPr>
              <w:t>18 Month</w:t>
            </w:r>
          </w:p>
        </w:tc>
        <w:tc>
          <w:tcPr>
            <w:tcW w:w="2160" w:type="dxa"/>
          </w:tcPr>
          <w:p w:rsidR="005B1EFF" w:rsidRPr="005B1EFF" w:rsidRDefault="00C37687" w:rsidP="005B1EFF">
            <w:pPr>
              <w:widowControl w:val="0"/>
              <w:ind w:right="288"/>
              <w:jc w:val="center"/>
              <w:rPr>
                <w:rFonts w:eastAsia="Calibri"/>
              </w:rPr>
            </w:pPr>
            <w:r>
              <w:rPr>
                <w:rFonts w:eastAsia="Calibri"/>
              </w:rPr>
              <w:t xml:space="preserve">   207</w:t>
            </w:r>
          </w:p>
        </w:tc>
        <w:tc>
          <w:tcPr>
            <w:tcW w:w="1440" w:type="dxa"/>
          </w:tcPr>
          <w:p w:rsidR="005B1EFF" w:rsidRPr="005B1EFF" w:rsidRDefault="00C37687" w:rsidP="005B1EFF">
            <w:pPr>
              <w:widowControl w:val="0"/>
              <w:ind w:right="288"/>
              <w:jc w:val="center"/>
              <w:rPr>
                <w:rFonts w:eastAsia="Calibri"/>
              </w:rPr>
            </w:pPr>
            <w:r>
              <w:rPr>
                <w:rFonts w:eastAsia="Calibri"/>
              </w:rPr>
              <w:t xml:space="preserve">  15%</w:t>
            </w:r>
          </w:p>
        </w:tc>
      </w:tr>
      <w:tr w:rsidR="005B1EFF" w:rsidRPr="005B1EFF" w:rsidTr="003902D0">
        <w:tc>
          <w:tcPr>
            <w:tcW w:w="2268" w:type="dxa"/>
          </w:tcPr>
          <w:p w:rsidR="005B1EFF" w:rsidRPr="005B1EFF" w:rsidRDefault="005B1EFF" w:rsidP="005B1EFF">
            <w:pPr>
              <w:widowControl w:val="0"/>
              <w:ind w:right="288"/>
              <w:jc w:val="center"/>
              <w:rPr>
                <w:rFonts w:eastAsia="Calibri"/>
              </w:rPr>
            </w:pPr>
            <w:r w:rsidRPr="005B1EFF">
              <w:rPr>
                <w:rFonts w:eastAsia="Calibri"/>
              </w:rPr>
              <w:t>Unscheduled</w:t>
            </w:r>
          </w:p>
        </w:tc>
        <w:tc>
          <w:tcPr>
            <w:tcW w:w="2160" w:type="dxa"/>
          </w:tcPr>
          <w:p w:rsidR="005B1EFF" w:rsidRPr="005B1EFF" w:rsidRDefault="00C37687" w:rsidP="005B1EFF">
            <w:pPr>
              <w:widowControl w:val="0"/>
              <w:ind w:right="288"/>
              <w:jc w:val="center"/>
              <w:rPr>
                <w:rFonts w:eastAsia="Calibri"/>
              </w:rPr>
            </w:pPr>
            <w:r>
              <w:rPr>
                <w:rFonts w:eastAsia="Calibri"/>
              </w:rPr>
              <w:t xml:space="preserve">  98</w:t>
            </w:r>
          </w:p>
        </w:tc>
        <w:tc>
          <w:tcPr>
            <w:tcW w:w="1440" w:type="dxa"/>
          </w:tcPr>
          <w:p w:rsidR="005B1EFF" w:rsidRPr="005B1EFF" w:rsidRDefault="00C37687" w:rsidP="005B1EFF">
            <w:pPr>
              <w:widowControl w:val="0"/>
              <w:ind w:right="288"/>
              <w:jc w:val="center"/>
              <w:rPr>
                <w:rFonts w:eastAsia="Calibri"/>
              </w:rPr>
            </w:pPr>
            <w:r>
              <w:rPr>
                <w:rFonts w:eastAsia="Calibri"/>
              </w:rPr>
              <w:t xml:space="preserve">  7%</w:t>
            </w:r>
          </w:p>
        </w:tc>
      </w:tr>
      <w:bookmarkEnd w:id="8"/>
    </w:tbl>
    <w:p w:rsidR="005B1EFF" w:rsidRPr="005B1EFF" w:rsidRDefault="005B1EFF" w:rsidP="005B1EFF">
      <w:pPr>
        <w:widowControl w:val="0"/>
        <w:spacing w:after="0"/>
        <w:ind w:right="288"/>
        <w:rPr>
          <w:rFonts w:eastAsia="Calibri"/>
        </w:rPr>
      </w:pPr>
    </w:p>
    <w:p w:rsidR="00F71EE3" w:rsidRDefault="00F71EE3" w:rsidP="005B1EFF">
      <w:pPr>
        <w:spacing w:after="0" w:line="360" w:lineRule="auto"/>
        <w:rPr>
          <w:rFonts w:eastAsia="Calibri"/>
        </w:rPr>
      </w:pPr>
    </w:p>
    <w:p w:rsidR="00F8468E" w:rsidRDefault="00F8468E" w:rsidP="005B1EFF">
      <w:pPr>
        <w:spacing w:after="0" w:line="360" w:lineRule="auto"/>
        <w:rPr>
          <w:rFonts w:eastAsia="Calibri"/>
        </w:rPr>
      </w:pPr>
    </w:p>
    <w:p w:rsidR="005B1EFF" w:rsidRPr="005B1EFF" w:rsidRDefault="005B1EFF" w:rsidP="005B1EFF">
      <w:pPr>
        <w:spacing w:after="0" w:line="360" w:lineRule="auto"/>
        <w:rPr>
          <w:rFonts w:eastAsia="Calibri"/>
        </w:rPr>
      </w:pPr>
      <w:r w:rsidRPr="005B1EFF">
        <w:rPr>
          <w:rFonts w:eastAsia="Calibri"/>
        </w:rPr>
        <w:t xml:space="preserve">As the data </w:t>
      </w:r>
      <w:r w:rsidR="00270D3F">
        <w:rPr>
          <w:rFonts w:eastAsia="Calibri"/>
        </w:rPr>
        <w:t>reflects</w:t>
      </w:r>
      <w:r w:rsidRPr="005B1EFF">
        <w:rPr>
          <w:rFonts w:eastAsia="Calibri"/>
        </w:rPr>
        <w:t>:</w:t>
      </w:r>
    </w:p>
    <w:p w:rsidR="005B1EFF" w:rsidRPr="00821333" w:rsidRDefault="005B1EFF" w:rsidP="005B1EFF">
      <w:pPr>
        <w:numPr>
          <w:ilvl w:val="0"/>
          <w:numId w:val="5"/>
        </w:numPr>
        <w:spacing w:after="0"/>
        <w:contextualSpacing/>
        <w:rPr>
          <w:color w:val="000000" w:themeColor="text1"/>
        </w:rPr>
      </w:pPr>
      <w:r w:rsidRPr="00821333">
        <w:rPr>
          <w:color w:val="000000" w:themeColor="text1"/>
        </w:rPr>
        <w:t xml:space="preserve">The combined total for the visits conducted at the </w:t>
      </w:r>
      <w:r w:rsidR="00270D3F" w:rsidRPr="00821333">
        <w:rPr>
          <w:color w:val="000000" w:themeColor="text1"/>
        </w:rPr>
        <w:t>30-day</w:t>
      </w:r>
      <w:r w:rsidRPr="00821333">
        <w:rPr>
          <w:color w:val="000000" w:themeColor="text1"/>
        </w:rPr>
        <w:t xml:space="preserve">, 3 </w:t>
      </w:r>
      <w:r w:rsidR="00270D3F" w:rsidRPr="00821333">
        <w:rPr>
          <w:color w:val="000000" w:themeColor="text1"/>
        </w:rPr>
        <w:t>m</w:t>
      </w:r>
      <w:r w:rsidRPr="00821333">
        <w:rPr>
          <w:color w:val="000000" w:themeColor="text1"/>
        </w:rPr>
        <w:t>onth</w:t>
      </w:r>
      <w:r w:rsidR="00270D3F" w:rsidRPr="00821333">
        <w:rPr>
          <w:color w:val="000000" w:themeColor="text1"/>
        </w:rPr>
        <w:t>s</w:t>
      </w:r>
      <w:r w:rsidRPr="00821333">
        <w:rPr>
          <w:color w:val="000000" w:themeColor="text1"/>
        </w:rPr>
        <w:t xml:space="preserve"> and 6 </w:t>
      </w:r>
      <w:r w:rsidR="00270D3F" w:rsidRPr="00821333">
        <w:rPr>
          <w:color w:val="000000" w:themeColor="text1"/>
        </w:rPr>
        <w:t>m</w:t>
      </w:r>
      <w:r w:rsidRPr="00821333">
        <w:rPr>
          <w:color w:val="000000" w:themeColor="text1"/>
        </w:rPr>
        <w:t>onth</w:t>
      </w:r>
      <w:r w:rsidR="00270D3F" w:rsidRPr="00821333">
        <w:rPr>
          <w:color w:val="000000" w:themeColor="text1"/>
        </w:rPr>
        <w:t>s</w:t>
      </w:r>
      <w:r w:rsidRPr="00821333">
        <w:rPr>
          <w:color w:val="000000" w:themeColor="text1"/>
        </w:rPr>
        <w:t xml:space="preserve"> post transition</w:t>
      </w:r>
      <w:r w:rsidR="00270D3F" w:rsidRPr="00821333">
        <w:rPr>
          <w:color w:val="000000" w:themeColor="text1"/>
        </w:rPr>
        <w:t xml:space="preserve"> intervals</w:t>
      </w:r>
      <w:r w:rsidRPr="00821333">
        <w:rPr>
          <w:color w:val="000000" w:themeColor="text1"/>
        </w:rPr>
        <w:t xml:space="preserve">, comprised more than half </w:t>
      </w:r>
      <w:r w:rsidR="00C37687">
        <w:rPr>
          <w:color w:val="000000" w:themeColor="text1"/>
        </w:rPr>
        <w:t>(59%)</w:t>
      </w:r>
      <w:r w:rsidR="00657528">
        <w:rPr>
          <w:color w:val="000000" w:themeColor="text1"/>
        </w:rPr>
        <w:t xml:space="preserve"> </w:t>
      </w:r>
      <w:r w:rsidRPr="00821333">
        <w:rPr>
          <w:color w:val="000000" w:themeColor="text1"/>
        </w:rPr>
        <w:t>of the total visits conducted for the reporting period.</w:t>
      </w:r>
    </w:p>
    <w:p w:rsidR="005B1EFF" w:rsidRPr="00821333" w:rsidRDefault="005B1EFF" w:rsidP="005B1EFF">
      <w:pPr>
        <w:numPr>
          <w:ilvl w:val="0"/>
          <w:numId w:val="5"/>
        </w:numPr>
        <w:spacing w:after="0"/>
        <w:contextualSpacing/>
        <w:rPr>
          <w:color w:val="000000" w:themeColor="text1"/>
        </w:rPr>
      </w:pPr>
    </w:p>
    <w:p w:rsidR="00821333" w:rsidRPr="00821333" w:rsidRDefault="005B1EFF" w:rsidP="00BB7841">
      <w:pPr>
        <w:numPr>
          <w:ilvl w:val="0"/>
          <w:numId w:val="5"/>
        </w:numPr>
        <w:spacing w:after="0"/>
        <w:contextualSpacing/>
        <w:rPr>
          <w:color w:val="000000" w:themeColor="text1"/>
        </w:rPr>
      </w:pPr>
      <w:r w:rsidRPr="00821333">
        <w:rPr>
          <w:color w:val="000000" w:themeColor="text1"/>
        </w:rPr>
        <w:t>The number of home visits conducted at the 18</w:t>
      </w:r>
      <w:r w:rsidR="00821333" w:rsidRPr="00821333">
        <w:rPr>
          <w:color w:val="000000" w:themeColor="text1"/>
        </w:rPr>
        <w:t>-</w:t>
      </w:r>
      <w:r w:rsidR="00DF4F90" w:rsidRPr="00821333">
        <w:rPr>
          <w:color w:val="000000" w:themeColor="text1"/>
        </w:rPr>
        <w:t>m</w:t>
      </w:r>
      <w:r w:rsidRPr="00821333">
        <w:rPr>
          <w:color w:val="000000" w:themeColor="text1"/>
        </w:rPr>
        <w:t>onth post transition (</w:t>
      </w:r>
      <w:r w:rsidR="00812E9A">
        <w:rPr>
          <w:color w:val="000000" w:themeColor="text1"/>
        </w:rPr>
        <w:t>207</w:t>
      </w:r>
      <w:r w:rsidRPr="00821333">
        <w:rPr>
          <w:color w:val="000000" w:themeColor="text1"/>
        </w:rPr>
        <w:t xml:space="preserve">), was significantly lower in comparison to home visits conducted at other post transition </w:t>
      </w:r>
      <w:r w:rsidR="00821333" w:rsidRPr="00821333">
        <w:rPr>
          <w:color w:val="000000" w:themeColor="text1"/>
        </w:rPr>
        <w:t>intervals</w:t>
      </w:r>
      <w:r w:rsidR="00F32EA1">
        <w:rPr>
          <w:color w:val="000000" w:themeColor="text1"/>
        </w:rPr>
        <w:t xml:space="preserve">. </w:t>
      </w:r>
      <w:r w:rsidR="00821333">
        <w:rPr>
          <w:color w:val="000000" w:themeColor="text1"/>
        </w:rPr>
        <w:t>Class Members are less accessible to Monitors requests for visits.</w:t>
      </w:r>
      <w:r w:rsidR="00270D3F" w:rsidRPr="00821333">
        <w:rPr>
          <w:color w:val="000000" w:themeColor="text1"/>
        </w:rPr>
        <w:t xml:space="preserve"> </w:t>
      </w:r>
    </w:p>
    <w:p w:rsidR="005B1EFF" w:rsidRPr="00821333" w:rsidRDefault="00821333" w:rsidP="00BB7841">
      <w:pPr>
        <w:numPr>
          <w:ilvl w:val="0"/>
          <w:numId w:val="5"/>
        </w:numPr>
        <w:spacing w:after="0"/>
        <w:contextualSpacing/>
        <w:rPr>
          <w:color w:val="FF0000"/>
        </w:rPr>
      </w:pPr>
      <w:r>
        <w:t>Q</w:t>
      </w:r>
      <w:r w:rsidRPr="005B1EFF">
        <w:t xml:space="preserve">M identified a need to make more frequent visits than </w:t>
      </w:r>
      <w:r>
        <w:t>scheduled</w:t>
      </w:r>
      <w:r w:rsidRPr="005B1EFF">
        <w:t xml:space="preserve">.  These visits were categorized as </w:t>
      </w:r>
      <w:r>
        <w:t>u</w:t>
      </w:r>
      <w:r w:rsidRPr="005B1EFF">
        <w:t xml:space="preserve">nscheduled visits, which comprised </w:t>
      </w:r>
      <w:r w:rsidR="00812E9A">
        <w:t>7</w:t>
      </w:r>
      <w:r w:rsidRPr="005B1EFF">
        <w:t xml:space="preserve">% of the total </w:t>
      </w:r>
      <w:r>
        <w:t xml:space="preserve">home </w:t>
      </w:r>
      <w:r w:rsidRPr="005B1EFF">
        <w:t xml:space="preserve">visits. </w:t>
      </w:r>
      <w:r>
        <w:t xml:space="preserve">    </w:t>
      </w:r>
    </w:p>
    <w:p w:rsidR="005B1EFF" w:rsidRPr="005B1EFF" w:rsidRDefault="005B1EFF" w:rsidP="005B1EFF">
      <w:pPr>
        <w:spacing w:after="0"/>
        <w:ind w:left="720"/>
        <w:contextualSpacing/>
      </w:pPr>
      <w:r w:rsidRPr="005B1EFF">
        <w:t xml:space="preserve">  </w:t>
      </w:r>
    </w:p>
    <w:p w:rsidR="00821333" w:rsidRDefault="005B1EFF" w:rsidP="00F32EA1">
      <w:pPr>
        <w:widowControl w:val="0"/>
        <w:spacing w:after="0"/>
        <w:rPr>
          <w:b/>
        </w:rPr>
      </w:pPr>
      <w:r w:rsidRPr="00C92248">
        <w:rPr>
          <w:b/>
        </w:rPr>
        <w:t>Quality of Life Surveys</w:t>
      </w:r>
    </w:p>
    <w:p w:rsidR="00F32EA1" w:rsidRPr="00F32EA1" w:rsidRDefault="00F32EA1" w:rsidP="00F32EA1">
      <w:pPr>
        <w:widowControl w:val="0"/>
        <w:spacing w:after="0"/>
        <w:rPr>
          <w:b/>
        </w:rPr>
      </w:pPr>
    </w:p>
    <w:p w:rsidR="005B1EFF" w:rsidRDefault="005B1EFF" w:rsidP="005B1EFF">
      <w:pPr>
        <w:spacing w:after="120"/>
        <w:ind w:right="394"/>
        <w:rPr>
          <w:rFonts w:eastAsia="Calibri"/>
          <w:spacing w:val="-1"/>
        </w:rPr>
      </w:pPr>
      <w:r w:rsidRPr="005B1EFF">
        <w:t xml:space="preserve">, </w:t>
      </w:r>
      <w:r w:rsidR="006E550D">
        <w:t>T</w:t>
      </w:r>
      <w:r w:rsidRPr="005B1EFF">
        <w:t>here were 379 Quality of Life Surveys completed</w:t>
      </w:r>
      <w:r w:rsidR="006E550D">
        <w:t xml:space="preserve"> in FY18</w:t>
      </w:r>
      <w:r w:rsidRPr="005B1EFF">
        <w:t xml:space="preserve">. </w:t>
      </w:r>
      <w:r w:rsidR="00D61D36">
        <w:t xml:space="preserve">  </w:t>
      </w:r>
      <w:r w:rsidR="00812E9A">
        <w:t xml:space="preserve">There were </w:t>
      </w:r>
      <w:r w:rsidR="00D61D36">
        <w:t xml:space="preserve">315 Class Members </w:t>
      </w:r>
      <w:r w:rsidR="00DC7ED5">
        <w:t xml:space="preserve">who </w:t>
      </w:r>
      <w:r w:rsidR="001B6E53">
        <w:t xml:space="preserve">transitioned </w:t>
      </w:r>
      <w:r w:rsidR="00D61D36">
        <w:t>in FY18.   Some of the 30</w:t>
      </w:r>
      <w:r w:rsidR="00657528">
        <w:t>-</w:t>
      </w:r>
      <w:r w:rsidR="00D61D36">
        <w:t>day,</w:t>
      </w:r>
      <w:r w:rsidR="00C5205C">
        <w:t xml:space="preserve"> 6</w:t>
      </w:r>
      <w:r w:rsidR="00657528">
        <w:t>-</w:t>
      </w:r>
      <w:r w:rsidR="00C5205C">
        <w:t>month, 12</w:t>
      </w:r>
      <w:r w:rsidR="00657528">
        <w:t>-</w:t>
      </w:r>
      <w:r w:rsidR="00C5205C">
        <w:t>month and 18</w:t>
      </w:r>
      <w:r w:rsidR="00657528">
        <w:t>-</w:t>
      </w:r>
      <w:r w:rsidR="00C5205C">
        <w:t xml:space="preserve">month Quality of Life Surveys conducted in FY18 </w:t>
      </w:r>
      <w:r w:rsidR="001B6E53">
        <w:t>are attributed to</w:t>
      </w:r>
      <w:r w:rsidR="00C5205C">
        <w:t xml:space="preserve"> Class Members who transitioned before the beginning of FY18</w:t>
      </w:r>
      <w:r w:rsidR="00812E9A">
        <w:t>, ergo the difference of 64</w:t>
      </w:r>
      <w:r w:rsidR="00C5205C">
        <w:t xml:space="preserve">.  </w:t>
      </w:r>
      <w:r w:rsidRPr="005B1EFF">
        <w:t xml:space="preserve"> The initial Quality of Life Survey, is completed by National Alliance for the Mentally Ill (NAMI-Chicago)</w:t>
      </w:r>
      <w:r w:rsidR="00821333">
        <w:t>,</w:t>
      </w:r>
      <w:r w:rsidRPr="005B1EFF">
        <w:t xml:space="preserve"> before the Class Member moves out of the SMHRF.  Williams Quality Monitors are required to complete the Quality of Life Surveys during the 6</w:t>
      </w:r>
      <w:r w:rsidR="00657528">
        <w:t>-</w:t>
      </w:r>
      <w:r w:rsidR="00270D3F">
        <w:t>m</w:t>
      </w:r>
      <w:r w:rsidRPr="005B1EFF">
        <w:t>onth, 12</w:t>
      </w:r>
      <w:r w:rsidR="00657528">
        <w:t>-</w:t>
      </w:r>
      <w:r w:rsidR="00270D3F">
        <w:t>mo</w:t>
      </w:r>
      <w:r w:rsidRPr="005B1EFF">
        <w:t>nth and 18</w:t>
      </w:r>
      <w:r w:rsidR="00657528">
        <w:t>-</w:t>
      </w:r>
      <w:r w:rsidR="00270D3F">
        <w:t>m</w:t>
      </w:r>
      <w:r w:rsidRPr="005B1EFF">
        <w:t>onth home visit, for</w:t>
      </w:r>
      <w:r w:rsidR="00821333">
        <w:t xml:space="preserve"> consenting</w:t>
      </w:r>
      <w:r w:rsidRPr="005B1EFF">
        <w:t xml:space="preserve"> Class Members</w:t>
      </w:r>
      <w:r w:rsidR="00821333">
        <w:t>.</w:t>
      </w:r>
      <w:r w:rsidRPr="005B1EFF">
        <w:t xml:space="preserve">    </w:t>
      </w:r>
      <w:r w:rsidRPr="005B1EFF">
        <w:rPr>
          <w:rFonts w:eastAsia="Calibri"/>
          <w:spacing w:val="-1"/>
        </w:rPr>
        <w:t>Feedback</w:t>
      </w:r>
      <w:r w:rsidRPr="005B1EFF">
        <w:rPr>
          <w:rFonts w:eastAsia="Calibri"/>
          <w:spacing w:val="-7"/>
        </w:rPr>
        <w:t xml:space="preserve"> </w:t>
      </w:r>
      <w:r w:rsidRPr="005B1EFF">
        <w:rPr>
          <w:rFonts w:eastAsia="Calibri"/>
        </w:rPr>
        <w:t>from</w:t>
      </w:r>
      <w:r w:rsidRPr="005B1EFF">
        <w:rPr>
          <w:rFonts w:eastAsia="Calibri"/>
          <w:spacing w:val="-5"/>
        </w:rPr>
        <w:t xml:space="preserve"> </w:t>
      </w:r>
      <w:r w:rsidRPr="005B1EFF">
        <w:rPr>
          <w:rFonts w:eastAsia="Calibri"/>
          <w:spacing w:val="-1"/>
        </w:rPr>
        <w:t>the</w:t>
      </w:r>
      <w:r w:rsidRPr="005B1EFF">
        <w:rPr>
          <w:rFonts w:eastAsia="Calibri"/>
          <w:spacing w:val="-2"/>
        </w:rPr>
        <w:t xml:space="preserve"> </w:t>
      </w:r>
      <w:r w:rsidRPr="005B1EFF">
        <w:rPr>
          <w:rFonts w:eastAsia="Calibri"/>
          <w:spacing w:val="-1"/>
        </w:rPr>
        <w:t>survey</w:t>
      </w:r>
      <w:r w:rsidRPr="005B1EFF">
        <w:rPr>
          <w:rFonts w:eastAsia="Calibri"/>
          <w:spacing w:val="-4"/>
        </w:rPr>
        <w:t xml:space="preserve"> </w:t>
      </w:r>
      <w:r w:rsidRPr="005B1EFF">
        <w:rPr>
          <w:rFonts w:eastAsia="Calibri"/>
          <w:spacing w:val="-1"/>
        </w:rPr>
        <w:t>serves as an indicator to determine the quality of care and services received</w:t>
      </w:r>
      <w:r w:rsidRPr="005B1EFF">
        <w:rPr>
          <w:rFonts w:eastAsia="Calibri"/>
          <w:spacing w:val="-4"/>
        </w:rPr>
        <w:t xml:space="preserve"> </w:t>
      </w:r>
      <w:r w:rsidRPr="005B1EFF">
        <w:rPr>
          <w:rFonts w:eastAsia="Calibri"/>
        </w:rPr>
        <w:t>by</w:t>
      </w:r>
      <w:r w:rsidRPr="005B1EFF">
        <w:rPr>
          <w:rFonts w:eastAsia="Calibri"/>
          <w:spacing w:val="-3"/>
        </w:rPr>
        <w:t xml:space="preserve"> </w:t>
      </w:r>
      <w:r w:rsidRPr="005B1EFF">
        <w:rPr>
          <w:rFonts w:eastAsia="Calibri"/>
          <w:spacing w:val="-1"/>
        </w:rPr>
        <w:t>Class</w:t>
      </w:r>
      <w:r w:rsidRPr="005B1EFF">
        <w:rPr>
          <w:rFonts w:eastAsia="Calibri"/>
          <w:spacing w:val="-2"/>
        </w:rPr>
        <w:t xml:space="preserve"> </w:t>
      </w:r>
      <w:r w:rsidRPr="005B1EFF">
        <w:rPr>
          <w:rFonts w:eastAsia="Calibri"/>
          <w:spacing w:val="-1"/>
        </w:rPr>
        <w:t>Members,</w:t>
      </w:r>
      <w:r w:rsidRPr="005B1EFF">
        <w:rPr>
          <w:rFonts w:eastAsia="Calibri"/>
          <w:spacing w:val="-3"/>
        </w:rPr>
        <w:t xml:space="preserve"> </w:t>
      </w:r>
      <w:r w:rsidRPr="005B1EFF">
        <w:rPr>
          <w:rFonts w:eastAsia="Calibri"/>
          <w:spacing w:val="-1"/>
        </w:rPr>
        <w:t>their wellness</w:t>
      </w:r>
      <w:r w:rsidRPr="005B1EFF">
        <w:rPr>
          <w:rFonts w:eastAsia="Calibri"/>
          <w:spacing w:val="-3"/>
        </w:rPr>
        <w:t xml:space="preserve"> </w:t>
      </w:r>
      <w:r w:rsidRPr="005B1EFF">
        <w:rPr>
          <w:rFonts w:eastAsia="Calibri"/>
          <w:spacing w:val="-1"/>
        </w:rPr>
        <w:t>and</w:t>
      </w:r>
      <w:r w:rsidRPr="005B1EFF">
        <w:rPr>
          <w:rFonts w:eastAsia="Calibri"/>
          <w:spacing w:val="-3"/>
        </w:rPr>
        <w:t xml:space="preserve"> </w:t>
      </w:r>
      <w:r w:rsidRPr="005B1EFF">
        <w:rPr>
          <w:rFonts w:eastAsia="Calibri"/>
          <w:spacing w:val="-1"/>
        </w:rPr>
        <w:t>their</w:t>
      </w:r>
      <w:r w:rsidRPr="005B1EFF">
        <w:rPr>
          <w:rFonts w:eastAsia="Calibri"/>
          <w:spacing w:val="-4"/>
        </w:rPr>
        <w:t xml:space="preserve"> </w:t>
      </w:r>
      <w:r w:rsidRPr="005B1EFF">
        <w:rPr>
          <w:rFonts w:eastAsia="Calibri"/>
          <w:spacing w:val="-1"/>
        </w:rPr>
        <w:t>quality</w:t>
      </w:r>
      <w:r w:rsidRPr="005B1EFF">
        <w:rPr>
          <w:rFonts w:eastAsia="Calibri"/>
          <w:spacing w:val="-2"/>
        </w:rPr>
        <w:t xml:space="preserve"> </w:t>
      </w:r>
      <w:r w:rsidRPr="005B1EFF">
        <w:rPr>
          <w:rFonts w:eastAsia="Calibri"/>
          <w:spacing w:val="-1"/>
        </w:rPr>
        <w:t>of</w:t>
      </w:r>
      <w:r w:rsidRPr="005B1EFF">
        <w:rPr>
          <w:rFonts w:eastAsia="Calibri"/>
          <w:spacing w:val="-2"/>
        </w:rPr>
        <w:t xml:space="preserve"> </w:t>
      </w:r>
      <w:r w:rsidRPr="005B1EFF">
        <w:rPr>
          <w:rFonts w:eastAsia="Calibri"/>
          <w:spacing w:val="-1"/>
        </w:rPr>
        <w:t>life</w:t>
      </w:r>
      <w:r w:rsidRPr="005B1EFF">
        <w:rPr>
          <w:rFonts w:eastAsia="Calibri"/>
          <w:spacing w:val="-2"/>
        </w:rPr>
        <w:t xml:space="preserve"> in</w:t>
      </w:r>
      <w:r w:rsidRPr="005B1EFF">
        <w:rPr>
          <w:rFonts w:eastAsia="Calibri"/>
          <w:spacing w:val="-3"/>
        </w:rPr>
        <w:t xml:space="preserve"> </w:t>
      </w:r>
      <w:r w:rsidRPr="005B1EFF">
        <w:rPr>
          <w:rFonts w:eastAsia="Calibri"/>
        </w:rPr>
        <w:t>the</w:t>
      </w:r>
      <w:r w:rsidRPr="005B1EFF">
        <w:rPr>
          <w:rFonts w:eastAsia="Calibri"/>
          <w:spacing w:val="-7"/>
        </w:rPr>
        <w:t xml:space="preserve"> </w:t>
      </w:r>
      <w:r w:rsidRPr="005B1EFF">
        <w:rPr>
          <w:rFonts w:eastAsia="Calibri"/>
          <w:spacing w:val="-1"/>
        </w:rPr>
        <w:t>community.</w:t>
      </w:r>
      <w:r w:rsidRPr="005B1EFF">
        <w:rPr>
          <w:rFonts w:eastAsia="Calibri"/>
        </w:rPr>
        <w:t xml:space="preserve"> </w:t>
      </w:r>
      <w:r w:rsidRPr="005B1EFF">
        <w:rPr>
          <w:rFonts w:eastAsia="Calibri"/>
          <w:spacing w:val="2"/>
        </w:rPr>
        <w:t xml:space="preserve"> </w:t>
      </w:r>
      <w:r w:rsidRPr="005B1EFF">
        <w:rPr>
          <w:rFonts w:eastAsia="Calibri"/>
          <w:spacing w:val="-1"/>
        </w:rPr>
        <w:t>Completed</w:t>
      </w:r>
      <w:r w:rsidR="00821333">
        <w:rPr>
          <w:rFonts w:eastAsia="Calibri"/>
          <w:spacing w:val="-1"/>
        </w:rPr>
        <w:t xml:space="preserve"> </w:t>
      </w:r>
      <w:r w:rsidRPr="005B1EFF">
        <w:rPr>
          <w:rFonts w:eastAsia="Calibri"/>
          <w:spacing w:val="-1"/>
        </w:rPr>
        <w:t>survey</w:t>
      </w:r>
      <w:r w:rsidRPr="005B1EFF">
        <w:rPr>
          <w:rFonts w:eastAsia="Calibri"/>
          <w:spacing w:val="-5"/>
        </w:rPr>
        <w:t xml:space="preserve"> </w:t>
      </w:r>
      <w:r w:rsidRPr="005B1EFF">
        <w:rPr>
          <w:rFonts w:eastAsia="Calibri"/>
          <w:spacing w:val="-1"/>
        </w:rPr>
        <w:t>data</w:t>
      </w:r>
      <w:r w:rsidRPr="005B1EFF">
        <w:rPr>
          <w:rFonts w:eastAsia="Calibri"/>
          <w:spacing w:val="-3"/>
        </w:rPr>
        <w:t xml:space="preserve"> </w:t>
      </w:r>
      <w:r w:rsidRPr="005B1EFF">
        <w:rPr>
          <w:rFonts w:eastAsia="Calibri"/>
          <w:spacing w:val="-1"/>
        </w:rPr>
        <w:t>indicates</w:t>
      </w:r>
      <w:r w:rsidRPr="005B1EFF">
        <w:rPr>
          <w:rFonts w:eastAsia="Calibri"/>
          <w:spacing w:val="-4"/>
        </w:rPr>
        <w:t xml:space="preserve"> th</w:t>
      </w:r>
      <w:r w:rsidR="00821333">
        <w:rPr>
          <w:rFonts w:eastAsia="Calibri"/>
          <w:spacing w:val="-4"/>
        </w:rPr>
        <w:t>e</w:t>
      </w:r>
      <w:r w:rsidRPr="005B1EFF">
        <w:rPr>
          <w:rFonts w:eastAsia="Calibri"/>
          <w:spacing w:val="-4"/>
        </w:rPr>
        <w:t xml:space="preserve"> Quality of Life Surveys were conducted during the following visits</w:t>
      </w:r>
      <w:r w:rsidRPr="005B1EFF">
        <w:rPr>
          <w:rFonts w:eastAsia="Calibri"/>
          <w:spacing w:val="-1"/>
        </w:rPr>
        <w:t xml:space="preserve"> periods:</w:t>
      </w:r>
    </w:p>
    <w:p w:rsidR="00821333" w:rsidRPr="005B1EFF" w:rsidRDefault="00821333" w:rsidP="005B1EFF">
      <w:pPr>
        <w:spacing w:after="120"/>
        <w:ind w:right="394"/>
        <w:rPr>
          <w:rFonts w:eastAsia="Calibri"/>
          <w:spacing w:val="-1"/>
        </w:rPr>
      </w:pPr>
    </w:p>
    <w:tbl>
      <w:tblPr>
        <w:tblStyle w:val="TableGrid1"/>
        <w:tblW w:w="0" w:type="auto"/>
        <w:tblLook w:val="04A0" w:firstRow="1" w:lastRow="0" w:firstColumn="1" w:lastColumn="0" w:noHBand="0" w:noVBand="1"/>
      </w:tblPr>
      <w:tblGrid>
        <w:gridCol w:w="1998"/>
        <w:gridCol w:w="2520"/>
        <w:gridCol w:w="1514"/>
      </w:tblGrid>
      <w:tr w:rsidR="005B1EFF" w:rsidRPr="005B1EFF" w:rsidTr="003902D0">
        <w:trPr>
          <w:trHeight w:val="512"/>
        </w:trPr>
        <w:tc>
          <w:tcPr>
            <w:tcW w:w="1998" w:type="dxa"/>
            <w:shd w:val="clear" w:color="auto" w:fill="DDD9C3" w:themeFill="background2" w:themeFillShade="E6"/>
          </w:tcPr>
          <w:p w:rsidR="005B1EFF" w:rsidRPr="005B1EFF" w:rsidRDefault="005B1EFF" w:rsidP="005B1EFF">
            <w:pPr>
              <w:widowControl w:val="0"/>
              <w:ind w:right="288"/>
              <w:jc w:val="center"/>
              <w:rPr>
                <w:rFonts w:eastAsia="Calibri"/>
              </w:rPr>
            </w:pPr>
          </w:p>
          <w:p w:rsidR="005B1EFF" w:rsidRPr="005B1EFF" w:rsidRDefault="005B1EFF" w:rsidP="005B1EFF">
            <w:pPr>
              <w:widowControl w:val="0"/>
              <w:ind w:right="288"/>
              <w:jc w:val="center"/>
              <w:rPr>
                <w:rFonts w:eastAsia="Calibri"/>
              </w:rPr>
            </w:pPr>
            <w:r w:rsidRPr="005B1EFF">
              <w:rPr>
                <w:rFonts w:eastAsia="Calibri"/>
              </w:rPr>
              <w:t>Survey Period</w:t>
            </w:r>
          </w:p>
        </w:tc>
        <w:tc>
          <w:tcPr>
            <w:tcW w:w="2520" w:type="dxa"/>
            <w:shd w:val="clear" w:color="auto" w:fill="DDD9C3" w:themeFill="background2" w:themeFillShade="E6"/>
          </w:tcPr>
          <w:p w:rsidR="005B1EFF" w:rsidRPr="005B1EFF" w:rsidRDefault="005B1EFF" w:rsidP="005B1EFF">
            <w:pPr>
              <w:widowControl w:val="0"/>
              <w:ind w:right="288"/>
              <w:jc w:val="center"/>
              <w:rPr>
                <w:rFonts w:eastAsia="Calibri"/>
              </w:rPr>
            </w:pPr>
          </w:p>
          <w:p w:rsidR="005B1EFF" w:rsidRPr="005B1EFF" w:rsidRDefault="005B1EFF" w:rsidP="005B1EFF">
            <w:pPr>
              <w:widowControl w:val="0"/>
              <w:ind w:right="288"/>
              <w:jc w:val="center"/>
              <w:rPr>
                <w:rFonts w:eastAsia="Calibri"/>
              </w:rPr>
            </w:pPr>
            <w:r w:rsidRPr="005B1EFF">
              <w:rPr>
                <w:rFonts w:eastAsia="Calibri"/>
              </w:rPr>
              <w:t>Number Completed</w:t>
            </w:r>
          </w:p>
        </w:tc>
        <w:tc>
          <w:tcPr>
            <w:tcW w:w="1514" w:type="dxa"/>
            <w:shd w:val="clear" w:color="auto" w:fill="DDD9C3" w:themeFill="background2" w:themeFillShade="E6"/>
          </w:tcPr>
          <w:p w:rsidR="005B1EFF" w:rsidRPr="005B1EFF" w:rsidRDefault="005B1EFF" w:rsidP="005B1EFF">
            <w:pPr>
              <w:widowControl w:val="0"/>
              <w:ind w:right="288"/>
              <w:jc w:val="center"/>
              <w:rPr>
                <w:rFonts w:eastAsia="Calibri"/>
              </w:rPr>
            </w:pPr>
          </w:p>
          <w:p w:rsidR="005B1EFF" w:rsidRPr="005B1EFF" w:rsidRDefault="005B1EFF" w:rsidP="005B1EFF">
            <w:pPr>
              <w:widowControl w:val="0"/>
              <w:ind w:right="288"/>
              <w:jc w:val="center"/>
              <w:rPr>
                <w:rFonts w:eastAsia="Calibri"/>
              </w:rPr>
            </w:pPr>
            <w:r w:rsidRPr="005B1EFF">
              <w:rPr>
                <w:rFonts w:eastAsia="Calibri"/>
              </w:rPr>
              <w:t>Percentage</w:t>
            </w:r>
          </w:p>
        </w:tc>
      </w:tr>
      <w:tr w:rsidR="005B1EFF" w:rsidRPr="005B1EFF" w:rsidTr="003902D0">
        <w:tc>
          <w:tcPr>
            <w:tcW w:w="1998" w:type="dxa"/>
          </w:tcPr>
          <w:p w:rsidR="005B1EFF" w:rsidRPr="005B1EFF" w:rsidRDefault="005B1EFF" w:rsidP="005B1EFF">
            <w:pPr>
              <w:widowControl w:val="0"/>
              <w:ind w:right="288"/>
              <w:jc w:val="center"/>
              <w:rPr>
                <w:rFonts w:eastAsia="Calibri"/>
              </w:rPr>
            </w:pPr>
            <w:r w:rsidRPr="005B1EFF">
              <w:rPr>
                <w:rFonts w:eastAsia="Calibri"/>
              </w:rPr>
              <w:t>30 Day</w:t>
            </w:r>
          </w:p>
        </w:tc>
        <w:tc>
          <w:tcPr>
            <w:tcW w:w="2520" w:type="dxa"/>
          </w:tcPr>
          <w:p w:rsidR="005B1EFF" w:rsidRPr="005B1EFF" w:rsidRDefault="005B1EFF" w:rsidP="005B1EFF">
            <w:pPr>
              <w:widowControl w:val="0"/>
              <w:ind w:right="288"/>
              <w:jc w:val="center"/>
              <w:rPr>
                <w:rFonts w:eastAsia="Calibri"/>
              </w:rPr>
            </w:pPr>
            <w:r w:rsidRPr="005B1EFF">
              <w:rPr>
                <w:rFonts w:eastAsia="Calibri"/>
              </w:rPr>
              <w:t>110</w:t>
            </w:r>
          </w:p>
        </w:tc>
        <w:tc>
          <w:tcPr>
            <w:tcW w:w="1514" w:type="dxa"/>
          </w:tcPr>
          <w:p w:rsidR="005B1EFF" w:rsidRPr="005B1EFF" w:rsidRDefault="005B1EFF" w:rsidP="005B1EFF">
            <w:pPr>
              <w:widowControl w:val="0"/>
              <w:ind w:right="288"/>
              <w:jc w:val="center"/>
              <w:rPr>
                <w:rFonts w:eastAsia="Calibri"/>
              </w:rPr>
            </w:pPr>
            <w:r w:rsidRPr="005B1EFF">
              <w:rPr>
                <w:rFonts w:eastAsia="Calibri"/>
              </w:rPr>
              <w:t>29.02%</w:t>
            </w:r>
          </w:p>
        </w:tc>
      </w:tr>
      <w:tr w:rsidR="005B1EFF" w:rsidRPr="005B1EFF" w:rsidTr="003902D0">
        <w:tc>
          <w:tcPr>
            <w:tcW w:w="1998" w:type="dxa"/>
          </w:tcPr>
          <w:p w:rsidR="005B1EFF" w:rsidRPr="005B1EFF" w:rsidRDefault="005B1EFF" w:rsidP="005B1EFF">
            <w:pPr>
              <w:widowControl w:val="0"/>
              <w:ind w:right="288"/>
              <w:jc w:val="center"/>
              <w:rPr>
                <w:rFonts w:eastAsia="Calibri"/>
              </w:rPr>
            </w:pPr>
            <w:r w:rsidRPr="005B1EFF">
              <w:rPr>
                <w:rFonts w:eastAsia="Calibri"/>
              </w:rPr>
              <w:t>3 Month</w:t>
            </w:r>
          </w:p>
        </w:tc>
        <w:tc>
          <w:tcPr>
            <w:tcW w:w="2520" w:type="dxa"/>
          </w:tcPr>
          <w:p w:rsidR="005B1EFF" w:rsidRPr="005B1EFF" w:rsidRDefault="005B1EFF" w:rsidP="005B1EFF">
            <w:pPr>
              <w:widowControl w:val="0"/>
              <w:ind w:right="288"/>
              <w:jc w:val="center"/>
              <w:rPr>
                <w:rFonts w:eastAsia="Calibri"/>
              </w:rPr>
            </w:pPr>
            <w:r w:rsidRPr="005B1EFF">
              <w:rPr>
                <w:rFonts w:eastAsia="Calibri"/>
              </w:rPr>
              <w:t>N/A</w:t>
            </w:r>
          </w:p>
        </w:tc>
        <w:tc>
          <w:tcPr>
            <w:tcW w:w="1514" w:type="dxa"/>
          </w:tcPr>
          <w:p w:rsidR="005B1EFF" w:rsidRPr="005B1EFF" w:rsidRDefault="005B1EFF" w:rsidP="005B1EFF">
            <w:pPr>
              <w:widowControl w:val="0"/>
              <w:ind w:right="288"/>
              <w:jc w:val="center"/>
              <w:rPr>
                <w:rFonts w:eastAsia="Calibri"/>
              </w:rPr>
            </w:pPr>
            <w:r w:rsidRPr="005B1EFF">
              <w:rPr>
                <w:rFonts w:eastAsia="Calibri"/>
              </w:rPr>
              <w:t>N/A</w:t>
            </w:r>
          </w:p>
        </w:tc>
      </w:tr>
      <w:tr w:rsidR="005B1EFF" w:rsidRPr="005B1EFF" w:rsidTr="003902D0">
        <w:tc>
          <w:tcPr>
            <w:tcW w:w="1998" w:type="dxa"/>
          </w:tcPr>
          <w:p w:rsidR="005B1EFF" w:rsidRPr="005B1EFF" w:rsidRDefault="005B1EFF" w:rsidP="005B1EFF">
            <w:pPr>
              <w:widowControl w:val="0"/>
              <w:ind w:right="288"/>
              <w:jc w:val="center"/>
              <w:rPr>
                <w:rFonts w:eastAsia="Calibri"/>
              </w:rPr>
            </w:pPr>
            <w:r w:rsidRPr="005B1EFF">
              <w:rPr>
                <w:rFonts w:eastAsia="Calibri"/>
              </w:rPr>
              <w:t>6 Month</w:t>
            </w:r>
          </w:p>
        </w:tc>
        <w:tc>
          <w:tcPr>
            <w:tcW w:w="2520" w:type="dxa"/>
          </w:tcPr>
          <w:p w:rsidR="005B1EFF" w:rsidRPr="005B1EFF" w:rsidRDefault="005B1EFF" w:rsidP="005B1EFF">
            <w:pPr>
              <w:widowControl w:val="0"/>
              <w:ind w:right="288"/>
              <w:jc w:val="center"/>
              <w:rPr>
                <w:rFonts w:eastAsia="Calibri"/>
              </w:rPr>
            </w:pPr>
            <w:r w:rsidRPr="005B1EFF">
              <w:rPr>
                <w:rFonts w:eastAsia="Calibri"/>
              </w:rPr>
              <w:t>94</w:t>
            </w:r>
          </w:p>
        </w:tc>
        <w:tc>
          <w:tcPr>
            <w:tcW w:w="1514" w:type="dxa"/>
          </w:tcPr>
          <w:p w:rsidR="005B1EFF" w:rsidRPr="005B1EFF" w:rsidRDefault="005B1EFF" w:rsidP="005B1EFF">
            <w:pPr>
              <w:widowControl w:val="0"/>
              <w:ind w:right="288"/>
              <w:jc w:val="center"/>
              <w:rPr>
                <w:rFonts w:eastAsia="Calibri"/>
              </w:rPr>
            </w:pPr>
            <w:r w:rsidRPr="005B1EFF">
              <w:rPr>
                <w:rFonts w:eastAsia="Calibri"/>
              </w:rPr>
              <w:t>24.80%</w:t>
            </w:r>
          </w:p>
        </w:tc>
      </w:tr>
      <w:tr w:rsidR="005B1EFF" w:rsidRPr="005B1EFF" w:rsidTr="003902D0">
        <w:tc>
          <w:tcPr>
            <w:tcW w:w="1998" w:type="dxa"/>
          </w:tcPr>
          <w:p w:rsidR="005B1EFF" w:rsidRPr="005B1EFF" w:rsidRDefault="005B1EFF" w:rsidP="005B1EFF">
            <w:pPr>
              <w:widowControl w:val="0"/>
              <w:ind w:right="288"/>
              <w:jc w:val="center"/>
              <w:rPr>
                <w:rFonts w:eastAsia="Calibri"/>
              </w:rPr>
            </w:pPr>
            <w:r w:rsidRPr="005B1EFF">
              <w:rPr>
                <w:rFonts w:eastAsia="Calibri"/>
              </w:rPr>
              <w:t>12 Month</w:t>
            </w:r>
          </w:p>
        </w:tc>
        <w:tc>
          <w:tcPr>
            <w:tcW w:w="2520" w:type="dxa"/>
          </w:tcPr>
          <w:p w:rsidR="005B1EFF" w:rsidRPr="005B1EFF" w:rsidRDefault="005B1EFF" w:rsidP="005B1EFF">
            <w:pPr>
              <w:widowControl w:val="0"/>
              <w:ind w:right="288"/>
              <w:jc w:val="center"/>
              <w:rPr>
                <w:rFonts w:eastAsia="Calibri"/>
              </w:rPr>
            </w:pPr>
            <w:r w:rsidRPr="005B1EFF">
              <w:rPr>
                <w:rFonts w:eastAsia="Calibri"/>
              </w:rPr>
              <w:t>109</w:t>
            </w:r>
          </w:p>
        </w:tc>
        <w:tc>
          <w:tcPr>
            <w:tcW w:w="1514" w:type="dxa"/>
          </w:tcPr>
          <w:p w:rsidR="005B1EFF" w:rsidRPr="005B1EFF" w:rsidRDefault="005B1EFF" w:rsidP="005B1EFF">
            <w:pPr>
              <w:widowControl w:val="0"/>
              <w:ind w:right="288"/>
              <w:jc w:val="center"/>
              <w:rPr>
                <w:rFonts w:eastAsia="Calibri"/>
              </w:rPr>
            </w:pPr>
            <w:r w:rsidRPr="005B1EFF">
              <w:rPr>
                <w:rFonts w:eastAsia="Calibri"/>
              </w:rPr>
              <w:t>28.76%</w:t>
            </w:r>
          </w:p>
        </w:tc>
      </w:tr>
      <w:tr w:rsidR="005B1EFF" w:rsidRPr="005B1EFF" w:rsidTr="003902D0">
        <w:tc>
          <w:tcPr>
            <w:tcW w:w="1998" w:type="dxa"/>
          </w:tcPr>
          <w:p w:rsidR="005B1EFF" w:rsidRPr="005B1EFF" w:rsidRDefault="005B1EFF" w:rsidP="005B1EFF">
            <w:pPr>
              <w:widowControl w:val="0"/>
              <w:ind w:right="288"/>
              <w:jc w:val="center"/>
              <w:rPr>
                <w:rFonts w:eastAsia="Calibri"/>
              </w:rPr>
            </w:pPr>
            <w:r w:rsidRPr="005B1EFF">
              <w:rPr>
                <w:rFonts w:eastAsia="Calibri"/>
              </w:rPr>
              <w:t>18 Month</w:t>
            </w:r>
          </w:p>
        </w:tc>
        <w:tc>
          <w:tcPr>
            <w:tcW w:w="2520" w:type="dxa"/>
          </w:tcPr>
          <w:p w:rsidR="005B1EFF" w:rsidRPr="005B1EFF" w:rsidRDefault="005B1EFF" w:rsidP="005B1EFF">
            <w:pPr>
              <w:widowControl w:val="0"/>
              <w:ind w:right="288"/>
              <w:jc w:val="center"/>
              <w:rPr>
                <w:rFonts w:eastAsia="Calibri"/>
              </w:rPr>
            </w:pPr>
            <w:r w:rsidRPr="005B1EFF">
              <w:rPr>
                <w:rFonts w:eastAsia="Calibri"/>
              </w:rPr>
              <w:t>64</w:t>
            </w:r>
          </w:p>
        </w:tc>
        <w:tc>
          <w:tcPr>
            <w:tcW w:w="1514" w:type="dxa"/>
          </w:tcPr>
          <w:p w:rsidR="005B1EFF" w:rsidRPr="005B1EFF" w:rsidRDefault="005B1EFF" w:rsidP="005B1EFF">
            <w:pPr>
              <w:widowControl w:val="0"/>
              <w:ind w:right="288"/>
              <w:jc w:val="center"/>
              <w:rPr>
                <w:rFonts w:eastAsia="Calibri"/>
              </w:rPr>
            </w:pPr>
            <w:r w:rsidRPr="005B1EFF">
              <w:rPr>
                <w:rFonts w:eastAsia="Calibri"/>
              </w:rPr>
              <w:t>16.89%</w:t>
            </w:r>
          </w:p>
        </w:tc>
      </w:tr>
      <w:tr w:rsidR="005B1EFF" w:rsidRPr="005B1EFF" w:rsidTr="003902D0">
        <w:tc>
          <w:tcPr>
            <w:tcW w:w="1998" w:type="dxa"/>
          </w:tcPr>
          <w:p w:rsidR="005B1EFF" w:rsidRPr="005B1EFF" w:rsidRDefault="005B1EFF" w:rsidP="005B1EFF">
            <w:pPr>
              <w:widowControl w:val="0"/>
              <w:ind w:right="288"/>
              <w:jc w:val="center"/>
              <w:rPr>
                <w:rFonts w:eastAsia="Calibri"/>
              </w:rPr>
            </w:pPr>
            <w:r w:rsidRPr="005B1EFF">
              <w:rPr>
                <w:rFonts w:eastAsia="Calibri"/>
              </w:rPr>
              <w:t>Unscheduled</w:t>
            </w:r>
          </w:p>
        </w:tc>
        <w:tc>
          <w:tcPr>
            <w:tcW w:w="2520" w:type="dxa"/>
          </w:tcPr>
          <w:p w:rsidR="005B1EFF" w:rsidRPr="005B1EFF" w:rsidRDefault="005B1EFF" w:rsidP="005B1EFF">
            <w:pPr>
              <w:widowControl w:val="0"/>
              <w:ind w:right="288"/>
              <w:jc w:val="center"/>
              <w:rPr>
                <w:rFonts w:eastAsia="Calibri"/>
              </w:rPr>
            </w:pPr>
            <w:r w:rsidRPr="005B1EFF">
              <w:rPr>
                <w:rFonts w:eastAsia="Calibri"/>
              </w:rPr>
              <w:t>2</w:t>
            </w:r>
          </w:p>
        </w:tc>
        <w:tc>
          <w:tcPr>
            <w:tcW w:w="1514" w:type="dxa"/>
          </w:tcPr>
          <w:p w:rsidR="005B1EFF" w:rsidRPr="005B1EFF" w:rsidRDefault="005B1EFF" w:rsidP="005B1EFF">
            <w:pPr>
              <w:widowControl w:val="0"/>
              <w:ind w:right="288"/>
              <w:jc w:val="center"/>
              <w:rPr>
                <w:rFonts w:eastAsia="Calibri"/>
              </w:rPr>
            </w:pPr>
            <w:r w:rsidRPr="005B1EFF">
              <w:rPr>
                <w:rFonts w:eastAsia="Calibri"/>
              </w:rPr>
              <w:t>0.53%</w:t>
            </w:r>
          </w:p>
        </w:tc>
      </w:tr>
    </w:tbl>
    <w:p w:rsidR="005B1EFF" w:rsidRPr="005B1EFF" w:rsidRDefault="005B1EFF" w:rsidP="005B1EFF">
      <w:pPr>
        <w:spacing w:after="120"/>
        <w:ind w:right="394"/>
        <w:rPr>
          <w:rFonts w:eastAsia="Calibri"/>
          <w:spacing w:val="-1"/>
        </w:rPr>
      </w:pPr>
      <w:r w:rsidRPr="005B1EFF">
        <w:rPr>
          <w:rFonts w:eastAsia="Calibri"/>
          <w:spacing w:val="-1"/>
        </w:rPr>
        <w:t xml:space="preserve">                                 </w:t>
      </w:r>
    </w:p>
    <w:p w:rsidR="005B1EFF" w:rsidRPr="005B1EFF" w:rsidRDefault="005B1EFF" w:rsidP="005B1EFF">
      <w:pPr>
        <w:spacing w:after="0"/>
      </w:pPr>
      <w:r w:rsidRPr="005B1EFF">
        <w:t>As data indicates:</w:t>
      </w:r>
    </w:p>
    <w:p w:rsidR="005B1EFF" w:rsidRPr="005B1EFF" w:rsidRDefault="005B1EFF" w:rsidP="005B1EFF">
      <w:pPr>
        <w:numPr>
          <w:ilvl w:val="0"/>
          <w:numId w:val="6"/>
        </w:numPr>
        <w:spacing w:after="0"/>
        <w:contextualSpacing/>
      </w:pPr>
      <w:r w:rsidRPr="005B1EFF">
        <w:t>Williams Quality Monitors conducted a total of 269 of the 379 (71%) of the Quality of Life Surveys.</w:t>
      </w:r>
    </w:p>
    <w:p w:rsidR="005B1EFF" w:rsidRPr="005B1EFF" w:rsidRDefault="005B1EFF" w:rsidP="005B1EFF">
      <w:pPr>
        <w:numPr>
          <w:ilvl w:val="0"/>
          <w:numId w:val="6"/>
        </w:numPr>
        <w:spacing w:after="0"/>
        <w:contextualSpacing/>
      </w:pPr>
      <w:r w:rsidRPr="005B1EFF">
        <w:t xml:space="preserve">NAMI-Chicago conducted </w:t>
      </w:r>
      <w:r w:rsidR="00812E9A">
        <w:t xml:space="preserve">the remaining </w:t>
      </w:r>
      <w:r w:rsidRPr="005B1EFF">
        <w:t>29% of the Quality of Life Surveys for this reporting period.</w:t>
      </w:r>
    </w:p>
    <w:p w:rsidR="005B1EFF" w:rsidRPr="005B1EFF" w:rsidRDefault="003902D0" w:rsidP="00821333">
      <w:pPr>
        <w:spacing w:after="0"/>
        <w:contextualSpacing/>
      </w:pPr>
      <w:r>
        <w:t xml:space="preserve">Note:  </w:t>
      </w:r>
      <w:r w:rsidRPr="005B1EFF">
        <w:t xml:space="preserve">Quality of Life Surveys </w:t>
      </w:r>
      <w:r>
        <w:t>are</w:t>
      </w:r>
      <w:r w:rsidR="005B1EFF" w:rsidRPr="005B1EFF">
        <w:t xml:space="preserve"> no</w:t>
      </w:r>
      <w:r>
        <w:t>t</w:t>
      </w:r>
      <w:r w:rsidR="005B1EFF" w:rsidRPr="005B1EFF">
        <w:t xml:space="preserve"> completed at the 3</w:t>
      </w:r>
      <w:r>
        <w:t>-m</w:t>
      </w:r>
      <w:r w:rsidR="005B1EFF" w:rsidRPr="005B1EFF">
        <w:t xml:space="preserve">onth post transition period.  </w:t>
      </w:r>
    </w:p>
    <w:p w:rsidR="005B1EFF" w:rsidRPr="005B1EFF" w:rsidRDefault="005B1EFF" w:rsidP="005B1EFF">
      <w:pPr>
        <w:spacing w:after="0"/>
      </w:pPr>
      <w:r w:rsidRPr="005B1EFF">
        <w:t xml:space="preserve">                                                                                                                                                                                                                                                                                                                                                                                                                                                                                                                                                                                                                                                                                                                                                                                                                                                                                                                                                                                                                                                                                                                                                                                                                                                                                                                                                                                                                                                                                                                                                                                                                                                                                                                                             </w:t>
      </w:r>
    </w:p>
    <w:p w:rsidR="005B1EFF" w:rsidRPr="00B966B7" w:rsidRDefault="005B1EFF" w:rsidP="005B1EFF">
      <w:pPr>
        <w:widowControl w:val="0"/>
        <w:spacing w:after="0"/>
        <w:rPr>
          <w:b/>
          <w:i/>
        </w:rPr>
      </w:pPr>
      <w:r w:rsidRPr="00B966B7">
        <w:rPr>
          <w:b/>
        </w:rPr>
        <w:t xml:space="preserve">36 Month Post Transition </w:t>
      </w:r>
      <w:r w:rsidRPr="00B966B7">
        <w:rPr>
          <w:b/>
          <w:i/>
        </w:rPr>
        <w:t>Visits</w:t>
      </w:r>
      <w:r w:rsidR="00B966B7">
        <w:rPr>
          <w:b/>
          <w:i/>
        </w:rPr>
        <w:t xml:space="preserve"> -</w:t>
      </w:r>
      <w:r w:rsidR="003902D0" w:rsidRPr="00B966B7">
        <w:rPr>
          <w:b/>
          <w:i/>
        </w:rPr>
        <w:t xml:space="preserve"> </w:t>
      </w:r>
      <w:r w:rsidR="00B966B7" w:rsidRPr="00B966B7">
        <w:rPr>
          <w:b/>
          <w:i/>
        </w:rPr>
        <w:t xml:space="preserve">(Note: </w:t>
      </w:r>
      <w:r w:rsidR="00B966B7" w:rsidRPr="00B966B7">
        <w:rPr>
          <w:i/>
        </w:rPr>
        <w:t>“Wellness visits” were initiated in August 2017 and completed in February 2018)</w:t>
      </w:r>
    </w:p>
    <w:p w:rsidR="005B1EFF" w:rsidRPr="00B966B7" w:rsidRDefault="005B1EFF" w:rsidP="005B1EFF">
      <w:pPr>
        <w:widowControl w:val="0"/>
        <w:spacing w:after="0"/>
        <w:rPr>
          <w:i/>
        </w:rPr>
      </w:pPr>
    </w:p>
    <w:p w:rsidR="005B1EFF" w:rsidRDefault="005B1EFF" w:rsidP="005B1EFF">
      <w:pPr>
        <w:spacing w:after="0"/>
      </w:pPr>
      <w:r w:rsidRPr="00B966B7">
        <w:t>As discussed in the previous report, D</w:t>
      </w:r>
      <w:r w:rsidR="00B966B7">
        <w:t>MH</w:t>
      </w:r>
      <w:r w:rsidRPr="00B966B7">
        <w:t xml:space="preserve"> elected to conduct “wellness visits” for Class Members who were at least 36 months post transition.  The purpose of the</w:t>
      </w:r>
      <w:r w:rsidR="00B966B7">
        <w:t>se</w:t>
      </w:r>
      <w:r w:rsidRPr="00B966B7">
        <w:t xml:space="preserve"> visit</w:t>
      </w:r>
      <w:r w:rsidR="00B966B7">
        <w:t>s</w:t>
      </w:r>
      <w:r w:rsidRPr="00B966B7">
        <w:t xml:space="preserve"> w</w:t>
      </w:r>
      <w:r w:rsidR="00B966B7">
        <w:t>as</w:t>
      </w:r>
      <w:r w:rsidRPr="00B966B7">
        <w:t xml:space="preserve"> to obtain feedback from Class Members to determine key factors for sustainability and successful independent living.   </w:t>
      </w:r>
      <w:r w:rsidR="00B966B7">
        <w:t>The nine</w:t>
      </w:r>
      <w:r w:rsidRPr="00B966B7">
        <w:t xml:space="preserve"> Quality Monitors were assigned to conduct “wellness visits” for Class Members who </w:t>
      </w:r>
      <w:r w:rsidR="00B966B7">
        <w:t xml:space="preserve">exceeded the 12 months monitoring period. </w:t>
      </w:r>
    </w:p>
    <w:p w:rsidR="00B966B7" w:rsidRPr="00B966B7" w:rsidRDefault="00B966B7" w:rsidP="005B1EFF">
      <w:pPr>
        <w:spacing w:after="0"/>
      </w:pPr>
    </w:p>
    <w:p w:rsidR="005B1EFF" w:rsidRPr="00B966B7" w:rsidRDefault="005B1EFF" w:rsidP="005B1EFF">
      <w:pPr>
        <w:spacing w:after="0"/>
      </w:pPr>
      <w:r w:rsidRPr="00B966B7">
        <w:t>According to the transition data</w:t>
      </w:r>
      <w:r w:rsidR="00B966B7">
        <w:t>,</w:t>
      </w:r>
      <w:r w:rsidRPr="00B966B7">
        <w:t xml:space="preserve"> there were 515 Class Members identified as having moved from the </w:t>
      </w:r>
      <w:r w:rsidR="00B966B7">
        <w:t>SMHRF/</w:t>
      </w:r>
      <w:r w:rsidRPr="00B966B7">
        <w:t>IMD</w:t>
      </w:r>
      <w:r w:rsidR="00B966B7">
        <w:t>s</w:t>
      </w:r>
      <w:r w:rsidRPr="00B966B7">
        <w:t xml:space="preserve"> </w:t>
      </w:r>
      <w:r w:rsidR="00B966B7">
        <w:t>to</w:t>
      </w:r>
      <w:r w:rsidRPr="00B966B7">
        <w:t xml:space="preserve"> independent</w:t>
      </w:r>
      <w:r w:rsidR="00B966B7">
        <w:t xml:space="preserve"> living </w:t>
      </w:r>
      <w:r w:rsidRPr="00B966B7">
        <w:t xml:space="preserve">in the community for more than 36 months.  Seven of nine Monitors were assigned to conduct visits for 474 Class Members living in </w:t>
      </w:r>
      <w:r w:rsidR="00B966B7">
        <w:t xml:space="preserve">the </w:t>
      </w:r>
      <w:r w:rsidRPr="00B966B7">
        <w:t xml:space="preserve">Chicago metro area; while two </w:t>
      </w:r>
      <w:r w:rsidR="00B966B7">
        <w:t xml:space="preserve">the </w:t>
      </w:r>
      <w:r w:rsidRPr="00B966B7">
        <w:t xml:space="preserve">Monitors </w:t>
      </w:r>
      <w:r w:rsidR="00B966B7">
        <w:t xml:space="preserve">in </w:t>
      </w:r>
      <w:r w:rsidRPr="00B966B7">
        <w:t xml:space="preserve">Pekin were assigned to 41 Class Members </w:t>
      </w:r>
      <w:r w:rsidR="00B966B7">
        <w:t>residing</w:t>
      </w:r>
      <w:r w:rsidRPr="00B966B7">
        <w:t xml:space="preserve"> </w:t>
      </w:r>
      <w:r w:rsidR="00B966B7">
        <w:t xml:space="preserve">surrounding areas in proximity to </w:t>
      </w:r>
      <w:r w:rsidRPr="00B966B7">
        <w:t>Decatur</w:t>
      </w:r>
      <w:r w:rsidR="00B966B7">
        <w:t xml:space="preserve"> and</w:t>
      </w:r>
      <w:r w:rsidRPr="00B966B7">
        <w:t xml:space="preserve"> Peoria</w:t>
      </w:r>
      <w:r w:rsidR="00B966B7">
        <w:t>.</w:t>
      </w:r>
      <w:r w:rsidRPr="00B966B7">
        <w:t xml:space="preserve">  The </w:t>
      </w:r>
      <w:r w:rsidR="00B966B7" w:rsidRPr="00B966B7">
        <w:t xml:space="preserve">Chicago </w:t>
      </w:r>
      <w:r w:rsidR="00B966B7">
        <w:t xml:space="preserve">are </w:t>
      </w:r>
      <w:r w:rsidRPr="00B966B7">
        <w:t>Quality Monitors conducted 92% of the visits</w:t>
      </w:r>
      <w:r w:rsidR="00B966B7">
        <w:t xml:space="preserve"> compared to the P</w:t>
      </w:r>
      <w:r w:rsidRPr="00B966B7">
        <w:t xml:space="preserve">ekin </w:t>
      </w:r>
      <w:r w:rsidR="00B966B7">
        <w:t>Monitors who</w:t>
      </w:r>
      <w:r w:rsidRPr="00B966B7">
        <w:t xml:space="preserve"> conducted 8% of the </w:t>
      </w:r>
      <w:r w:rsidR="00B966B7">
        <w:t>wellness visits</w:t>
      </w:r>
      <w:r w:rsidRPr="00B966B7">
        <w:t xml:space="preserve">.  </w:t>
      </w:r>
    </w:p>
    <w:p w:rsidR="005B1EFF" w:rsidRPr="00B966B7" w:rsidRDefault="005B1EFF" w:rsidP="005B1EFF">
      <w:pPr>
        <w:spacing w:after="0"/>
      </w:pPr>
    </w:p>
    <w:p w:rsidR="005B1EFF" w:rsidRDefault="005B1EFF" w:rsidP="005B1EFF">
      <w:pPr>
        <w:spacing w:after="0"/>
      </w:pPr>
      <w:r w:rsidRPr="00B966B7">
        <w:t>Of the 515 Class Members who were assigned, monitors reported that only 237 (46%) visits were conducted; while 278 (54%) of the Class Member visits were not conducted.  Williams Quality Monitors reported the following reasons for the unsuccessful “wellness visit”:</w:t>
      </w:r>
    </w:p>
    <w:p w:rsidR="005B1EFF" w:rsidRPr="005B1EFF" w:rsidRDefault="005B1EFF" w:rsidP="005B1EFF">
      <w:pPr>
        <w:spacing w:after="0"/>
      </w:pPr>
    </w:p>
    <w:tbl>
      <w:tblPr>
        <w:tblStyle w:val="TableGrid1"/>
        <w:tblW w:w="11004" w:type="dxa"/>
        <w:tblLook w:val="04A0" w:firstRow="1" w:lastRow="0" w:firstColumn="1" w:lastColumn="0" w:noHBand="0" w:noVBand="1"/>
      </w:tblPr>
      <w:tblGrid>
        <w:gridCol w:w="2751"/>
        <w:gridCol w:w="2751"/>
        <w:gridCol w:w="2751"/>
        <w:gridCol w:w="2751"/>
      </w:tblGrid>
      <w:tr w:rsidR="005B1EFF" w:rsidRPr="005B1EFF" w:rsidTr="003902D0">
        <w:trPr>
          <w:trHeight w:val="377"/>
        </w:trPr>
        <w:tc>
          <w:tcPr>
            <w:tcW w:w="2751" w:type="dxa"/>
            <w:shd w:val="clear" w:color="auto" w:fill="DDD9C3" w:themeFill="background2" w:themeFillShade="E6"/>
            <w:vAlign w:val="bottom"/>
          </w:tcPr>
          <w:p w:rsidR="005B1EFF" w:rsidRPr="005B1EFF" w:rsidRDefault="005B1EFF" w:rsidP="005B1EFF">
            <w:pPr>
              <w:jc w:val="center"/>
            </w:pPr>
            <w:r w:rsidRPr="005B1EFF">
              <w:t>Unable to Contact</w:t>
            </w:r>
          </w:p>
        </w:tc>
        <w:tc>
          <w:tcPr>
            <w:tcW w:w="2751" w:type="dxa"/>
            <w:shd w:val="clear" w:color="auto" w:fill="DDD9C3" w:themeFill="background2" w:themeFillShade="E6"/>
            <w:vAlign w:val="bottom"/>
          </w:tcPr>
          <w:p w:rsidR="005B1EFF" w:rsidRPr="005B1EFF" w:rsidRDefault="005B1EFF" w:rsidP="005B1EFF">
            <w:pPr>
              <w:jc w:val="center"/>
            </w:pPr>
            <w:r w:rsidRPr="005B1EFF">
              <w:t>Refused Visit</w:t>
            </w:r>
          </w:p>
        </w:tc>
        <w:tc>
          <w:tcPr>
            <w:tcW w:w="2751" w:type="dxa"/>
            <w:shd w:val="clear" w:color="auto" w:fill="DDD9C3" w:themeFill="background2" w:themeFillShade="E6"/>
            <w:vAlign w:val="bottom"/>
          </w:tcPr>
          <w:p w:rsidR="005B1EFF" w:rsidRPr="005B1EFF" w:rsidRDefault="005B1EFF" w:rsidP="005B1EFF">
            <w:pPr>
              <w:jc w:val="center"/>
            </w:pPr>
            <w:r w:rsidRPr="005B1EFF">
              <w:t>Missed Visit</w:t>
            </w:r>
          </w:p>
        </w:tc>
        <w:tc>
          <w:tcPr>
            <w:tcW w:w="2751" w:type="dxa"/>
            <w:shd w:val="clear" w:color="auto" w:fill="DDD9C3" w:themeFill="background2" w:themeFillShade="E6"/>
            <w:vAlign w:val="bottom"/>
          </w:tcPr>
          <w:p w:rsidR="005B1EFF" w:rsidRPr="005B1EFF" w:rsidRDefault="005B1EFF" w:rsidP="005B1EFF">
            <w:pPr>
              <w:jc w:val="center"/>
            </w:pPr>
            <w:r w:rsidRPr="005B1EFF">
              <w:t>Other</w:t>
            </w:r>
          </w:p>
        </w:tc>
      </w:tr>
      <w:tr w:rsidR="005B1EFF" w:rsidRPr="005B1EFF" w:rsidTr="003902D0">
        <w:trPr>
          <w:trHeight w:val="433"/>
        </w:trPr>
        <w:tc>
          <w:tcPr>
            <w:tcW w:w="2751" w:type="dxa"/>
            <w:shd w:val="clear" w:color="auto" w:fill="auto"/>
            <w:vAlign w:val="bottom"/>
          </w:tcPr>
          <w:p w:rsidR="005B1EFF" w:rsidRPr="005B1EFF" w:rsidRDefault="005B1EFF" w:rsidP="005B1EFF">
            <w:pPr>
              <w:jc w:val="center"/>
            </w:pPr>
            <w:r w:rsidRPr="005B1EFF">
              <w:t>193</w:t>
            </w:r>
          </w:p>
        </w:tc>
        <w:tc>
          <w:tcPr>
            <w:tcW w:w="2751" w:type="dxa"/>
            <w:vAlign w:val="bottom"/>
          </w:tcPr>
          <w:p w:rsidR="005B1EFF" w:rsidRPr="005B1EFF" w:rsidRDefault="005B1EFF" w:rsidP="005B1EFF">
            <w:pPr>
              <w:jc w:val="center"/>
            </w:pPr>
            <w:r w:rsidRPr="005B1EFF">
              <w:t>43</w:t>
            </w:r>
          </w:p>
        </w:tc>
        <w:tc>
          <w:tcPr>
            <w:tcW w:w="2751" w:type="dxa"/>
            <w:vAlign w:val="bottom"/>
          </w:tcPr>
          <w:p w:rsidR="005B1EFF" w:rsidRPr="005B1EFF" w:rsidRDefault="005B1EFF" w:rsidP="005B1EFF">
            <w:pPr>
              <w:jc w:val="center"/>
            </w:pPr>
            <w:r w:rsidRPr="005B1EFF">
              <w:t>10</w:t>
            </w:r>
          </w:p>
        </w:tc>
        <w:tc>
          <w:tcPr>
            <w:tcW w:w="2751" w:type="dxa"/>
            <w:vAlign w:val="bottom"/>
          </w:tcPr>
          <w:p w:rsidR="005B1EFF" w:rsidRPr="005B1EFF" w:rsidRDefault="005B1EFF" w:rsidP="005B1EFF">
            <w:pPr>
              <w:jc w:val="center"/>
            </w:pPr>
            <w:r w:rsidRPr="005B1EFF">
              <w:t>32</w:t>
            </w:r>
          </w:p>
        </w:tc>
      </w:tr>
    </w:tbl>
    <w:p w:rsidR="005B1EFF" w:rsidRPr="005B1EFF" w:rsidRDefault="005B1EFF" w:rsidP="005B1EFF">
      <w:pPr>
        <w:spacing w:after="0"/>
      </w:pPr>
    </w:p>
    <w:p w:rsidR="005B1EFF" w:rsidRPr="00BB7841" w:rsidRDefault="003902D0" w:rsidP="005B1EFF">
      <w:pPr>
        <w:numPr>
          <w:ilvl w:val="0"/>
          <w:numId w:val="3"/>
        </w:numPr>
        <w:spacing w:after="0"/>
        <w:contextualSpacing/>
      </w:pPr>
      <w:bookmarkStart w:id="9" w:name="_Hlk519510648"/>
      <w:r w:rsidRPr="00BB7841">
        <w:t>‘</w:t>
      </w:r>
      <w:r w:rsidR="005B1EFF" w:rsidRPr="00BB7841">
        <w:t>Unable to contact</w:t>
      </w:r>
      <w:r w:rsidRPr="00BB7841">
        <w:t>’</w:t>
      </w:r>
      <w:r w:rsidR="001F0472" w:rsidRPr="00BB7841">
        <w:t xml:space="preserve"> - </w:t>
      </w:r>
      <w:r w:rsidR="005B1EFF" w:rsidRPr="00BB7841">
        <w:t xml:space="preserve">Class Members who </w:t>
      </w:r>
      <w:r w:rsidRPr="00BB7841">
        <w:t xml:space="preserve">did not respond to contact efforts by </w:t>
      </w:r>
      <w:r w:rsidR="005B1EFF" w:rsidRPr="00BB7841">
        <w:t xml:space="preserve">phone or mail.  </w:t>
      </w:r>
    </w:p>
    <w:bookmarkEnd w:id="9"/>
    <w:p w:rsidR="005B1EFF" w:rsidRPr="00BB7841" w:rsidRDefault="003902D0" w:rsidP="005B1EFF">
      <w:pPr>
        <w:numPr>
          <w:ilvl w:val="0"/>
          <w:numId w:val="3"/>
        </w:numPr>
        <w:spacing w:after="0"/>
        <w:contextualSpacing/>
      </w:pPr>
      <w:r w:rsidRPr="00BB7841">
        <w:t>‘</w:t>
      </w:r>
      <w:r w:rsidR="005B1EFF" w:rsidRPr="00BB7841">
        <w:t>Refused visit</w:t>
      </w:r>
      <w:r w:rsidRPr="00BB7841">
        <w:t>’</w:t>
      </w:r>
      <w:r w:rsidR="001F0472" w:rsidRPr="00BB7841">
        <w:t xml:space="preserve"> - </w:t>
      </w:r>
      <w:r w:rsidR="005B1EFF" w:rsidRPr="00BB7841">
        <w:t xml:space="preserve">Class Members </w:t>
      </w:r>
      <w:r w:rsidRPr="00BB7841">
        <w:t>who were</w:t>
      </w:r>
      <w:r w:rsidR="005B1EFF" w:rsidRPr="00BB7841">
        <w:t xml:space="preserve"> contact</w:t>
      </w:r>
      <w:r w:rsidRPr="00BB7841">
        <w:t>ed</w:t>
      </w:r>
      <w:r w:rsidR="005B1EFF" w:rsidRPr="00BB7841">
        <w:t xml:space="preserve">, but who refused </w:t>
      </w:r>
      <w:r w:rsidRPr="00BB7841">
        <w:t xml:space="preserve">consent to participate in </w:t>
      </w:r>
      <w:r w:rsidR="005B1EFF" w:rsidRPr="00BB7841">
        <w:t>the 36 Month Post Transition “wellness visit.”</w:t>
      </w:r>
    </w:p>
    <w:p w:rsidR="001F0472" w:rsidRPr="00BB7841" w:rsidRDefault="003902D0" w:rsidP="005B1EFF">
      <w:pPr>
        <w:numPr>
          <w:ilvl w:val="0"/>
          <w:numId w:val="3"/>
        </w:numPr>
        <w:spacing w:after="0"/>
        <w:contextualSpacing/>
      </w:pPr>
      <w:r w:rsidRPr="00BB7841">
        <w:t>‘</w:t>
      </w:r>
      <w:r w:rsidR="005B1EFF" w:rsidRPr="00BB7841">
        <w:t>Missed visit</w:t>
      </w:r>
      <w:r w:rsidRPr="00BB7841">
        <w:t>’</w:t>
      </w:r>
      <w:r w:rsidR="001F0472" w:rsidRPr="00BB7841">
        <w:t xml:space="preserve"> - </w:t>
      </w:r>
      <w:r w:rsidR="005B1EFF" w:rsidRPr="00BB7841">
        <w:t>Class Members who initially stated they would allow the monitor to visit but w</w:t>
      </w:r>
      <w:r w:rsidR="00964563">
        <w:t>ere</w:t>
      </w:r>
      <w:r w:rsidR="005B1EFF" w:rsidRPr="00BB7841">
        <w:t xml:space="preserve"> not available when the</w:t>
      </w:r>
      <w:r w:rsidR="001F0472" w:rsidRPr="00BB7841">
        <w:t xml:space="preserve">y </w:t>
      </w:r>
      <w:r w:rsidR="005B1EFF" w:rsidRPr="00BB7841">
        <w:t>arrived at their place of residence.</w:t>
      </w:r>
    </w:p>
    <w:p w:rsidR="005B1EFF" w:rsidRDefault="001F0472" w:rsidP="00BB7841">
      <w:pPr>
        <w:numPr>
          <w:ilvl w:val="0"/>
          <w:numId w:val="3"/>
        </w:numPr>
        <w:spacing w:after="0"/>
        <w:contextualSpacing/>
      </w:pPr>
      <w:r w:rsidRPr="00BB7841">
        <w:t xml:space="preserve">‘Other’ - </w:t>
      </w:r>
      <w:r w:rsidR="005B1EFF" w:rsidRPr="00BB7841">
        <w:t>Class Members were no longer living in the community</w:t>
      </w:r>
      <w:r w:rsidRPr="00BB7841">
        <w:t>:</w:t>
      </w:r>
      <w:r w:rsidR="005B1EFF" w:rsidRPr="00BB7841">
        <w:t xml:space="preserve">  1) return to the </w:t>
      </w:r>
      <w:r w:rsidRPr="00BB7841">
        <w:t>SMHRF/</w:t>
      </w:r>
      <w:r w:rsidR="005B1EFF" w:rsidRPr="00BB7841">
        <w:t>IMD; 2) move to a skilled nursing facility/rehab center; 3)</w:t>
      </w:r>
      <w:r w:rsidR="005B1EFF" w:rsidRPr="001F0472">
        <w:t xml:space="preserve"> hospitaliz</w:t>
      </w:r>
      <w:r>
        <w:t>ed</w:t>
      </w:r>
      <w:r w:rsidR="005B1EFF" w:rsidRPr="001F0472">
        <w:t>; 4) incarcerat</w:t>
      </w:r>
      <w:r>
        <w:t>ed</w:t>
      </w:r>
      <w:r w:rsidR="005B1EFF" w:rsidRPr="001F0472">
        <w:t>; 5) deceased; 6) moved with family; or 7) no longer receiving services from agency</w:t>
      </w:r>
      <w:r>
        <w:t>.</w:t>
      </w:r>
    </w:p>
    <w:p w:rsidR="001F0472" w:rsidRDefault="001F0472" w:rsidP="005B1EFF">
      <w:pPr>
        <w:spacing w:after="0"/>
      </w:pPr>
    </w:p>
    <w:p w:rsidR="005B1EFF" w:rsidRPr="005B1EFF" w:rsidRDefault="005B1EFF" w:rsidP="005B1EFF">
      <w:pPr>
        <w:spacing w:after="0"/>
      </w:pPr>
      <w:r w:rsidRPr="005B1EFF">
        <w:t>Williams Quality Monitors reported that 46 of the 237 Class Members (19.41%) were identified to have concerns since their transition from the</w:t>
      </w:r>
      <w:r w:rsidR="001F0472">
        <w:t xml:space="preserve"> SMHRF/</w:t>
      </w:r>
      <w:r w:rsidRPr="005B1EFF">
        <w:t>IMD.  The 46 Class Members reported to have had a total of 53 concerns/issues while living independently in the community.  Class Members reported the following concerns:</w:t>
      </w:r>
    </w:p>
    <w:p w:rsidR="005B1EFF" w:rsidRPr="005B1EFF" w:rsidRDefault="005B1EFF" w:rsidP="005B1EFF">
      <w:pPr>
        <w:spacing w:after="0"/>
      </w:pPr>
    </w:p>
    <w:tbl>
      <w:tblPr>
        <w:tblStyle w:val="TableGrid1"/>
        <w:tblW w:w="11178" w:type="dxa"/>
        <w:tblLook w:val="04A0" w:firstRow="1" w:lastRow="0" w:firstColumn="1" w:lastColumn="0" w:noHBand="0" w:noVBand="1"/>
      </w:tblPr>
      <w:tblGrid>
        <w:gridCol w:w="2235"/>
        <w:gridCol w:w="2236"/>
        <w:gridCol w:w="2235"/>
        <w:gridCol w:w="2236"/>
        <w:gridCol w:w="2236"/>
      </w:tblGrid>
      <w:tr w:rsidR="005B1EFF" w:rsidRPr="005B1EFF" w:rsidTr="003902D0">
        <w:trPr>
          <w:trHeight w:val="395"/>
        </w:trPr>
        <w:tc>
          <w:tcPr>
            <w:tcW w:w="2235" w:type="dxa"/>
            <w:shd w:val="clear" w:color="auto" w:fill="DDD9C3" w:themeFill="background2" w:themeFillShade="E6"/>
            <w:vAlign w:val="bottom"/>
          </w:tcPr>
          <w:p w:rsidR="005B1EFF" w:rsidRPr="005B1EFF" w:rsidRDefault="005B1EFF" w:rsidP="005B1EFF">
            <w:pPr>
              <w:jc w:val="center"/>
            </w:pPr>
            <w:r w:rsidRPr="005B1EFF">
              <w:t>Mental Status</w:t>
            </w:r>
          </w:p>
        </w:tc>
        <w:tc>
          <w:tcPr>
            <w:tcW w:w="2236" w:type="dxa"/>
            <w:shd w:val="clear" w:color="auto" w:fill="DDD9C3" w:themeFill="background2" w:themeFillShade="E6"/>
            <w:vAlign w:val="bottom"/>
          </w:tcPr>
          <w:p w:rsidR="005B1EFF" w:rsidRPr="005B1EFF" w:rsidRDefault="005B1EFF" w:rsidP="005B1EFF">
            <w:pPr>
              <w:jc w:val="center"/>
            </w:pPr>
            <w:r w:rsidRPr="005B1EFF">
              <w:t>Medical/Dental</w:t>
            </w:r>
          </w:p>
        </w:tc>
        <w:tc>
          <w:tcPr>
            <w:tcW w:w="2235" w:type="dxa"/>
            <w:shd w:val="clear" w:color="auto" w:fill="DDD9C3" w:themeFill="background2" w:themeFillShade="E6"/>
            <w:vAlign w:val="bottom"/>
          </w:tcPr>
          <w:p w:rsidR="005B1EFF" w:rsidRPr="005B1EFF" w:rsidRDefault="005B1EFF" w:rsidP="005B1EFF">
            <w:pPr>
              <w:jc w:val="center"/>
            </w:pPr>
            <w:r w:rsidRPr="005B1EFF">
              <w:t>Social Services</w:t>
            </w:r>
          </w:p>
        </w:tc>
        <w:tc>
          <w:tcPr>
            <w:tcW w:w="2236" w:type="dxa"/>
            <w:shd w:val="clear" w:color="auto" w:fill="DDD9C3" w:themeFill="background2" w:themeFillShade="E6"/>
            <w:vAlign w:val="bottom"/>
          </w:tcPr>
          <w:p w:rsidR="005B1EFF" w:rsidRPr="005B1EFF" w:rsidRDefault="005B1EFF" w:rsidP="005B1EFF">
            <w:pPr>
              <w:jc w:val="center"/>
            </w:pPr>
            <w:r w:rsidRPr="005B1EFF">
              <w:t>Housing</w:t>
            </w:r>
          </w:p>
        </w:tc>
        <w:tc>
          <w:tcPr>
            <w:tcW w:w="2236" w:type="dxa"/>
            <w:shd w:val="clear" w:color="auto" w:fill="DDD9C3" w:themeFill="background2" w:themeFillShade="E6"/>
            <w:vAlign w:val="bottom"/>
          </w:tcPr>
          <w:p w:rsidR="005B1EFF" w:rsidRPr="005B1EFF" w:rsidRDefault="005B1EFF" w:rsidP="005B1EFF">
            <w:pPr>
              <w:jc w:val="center"/>
            </w:pPr>
            <w:r w:rsidRPr="005B1EFF">
              <w:t>Agency Services</w:t>
            </w:r>
          </w:p>
        </w:tc>
      </w:tr>
      <w:tr w:rsidR="005B1EFF" w:rsidRPr="005B1EFF" w:rsidTr="003902D0">
        <w:trPr>
          <w:trHeight w:val="440"/>
        </w:trPr>
        <w:tc>
          <w:tcPr>
            <w:tcW w:w="2235" w:type="dxa"/>
            <w:vAlign w:val="bottom"/>
          </w:tcPr>
          <w:p w:rsidR="005B1EFF" w:rsidRPr="005B1EFF" w:rsidRDefault="005B1EFF" w:rsidP="005B1EFF">
            <w:pPr>
              <w:jc w:val="center"/>
            </w:pPr>
            <w:r w:rsidRPr="005B1EFF">
              <w:t>19</w:t>
            </w:r>
          </w:p>
        </w:tc>
        <w:tc>
          <w:tcPr>
            <w:tcW w:w="2236" w:type="dxa"/>
            <w:vAlign w:val="bottom"/>
          </w:tcPr>
          <w:p w:rsidR="005B1EFF" w:rsidRPr="005B1EFF" w:rsidRDefault="005B1EFF" w:rsidP="005B1EFF">
            <w:pPr>
              <w:jc w:val="center"/>
            </w:pPr>
            <w:r w:rsidRPr="005B1EFF">
              <w:t>17</w:t>
            </w:r>
          </w:p>
        </w:tc>
        <w:tc>
          <w:tcPr>
            <w:tcW w:w="2235" w:type="dxa"/>
            <w:vAlign w:val="bottom"/>
          </w:tcPr>
          <w:p w:rsidR="005B1EFF" w:rsidRPr="005B1EFF" w:rsidRDefault="005B1EFF" w:rsidP="005B1EFF">
            <w:pPr>
              <w:jc w:val="center"/>
            </w:pPr>
            <w:r w:rsidRPr="005B1EFF">
              <w:t>5</w:t>
            </w:r>
          </w:p>
        </w:tc>
        <w:tc>
          <w:tcPr>
            <w:tcW w:w="2236" w:type="dxa"/>
            <w:vAlign w:val="bottom"/>
          </w:tcPr>
          <w:p w:rsidR="005B1EFF" w:rsidRPr="005B1EFF" w:rsidRDefault="005B1EFF" w:rsidP="005B1EFF">
            <w:pPr>
              <w:jc w:val="center"/>
            </w:pPr>
            <w:r w:rsidRPr="005B1EFF">
              <w:t>7</w:t>
            </w:r>
          </w:p>
        </w:tc>
        <w:tc>
          <w:tcPr>
            <w:tcW w:w="2236" w:type="dxa"/>
            <w:vAlign w:val="bottom"/>
          </w:tcPr>
          <w:p w:rsidR="005B1EFF" w:rsidRPr="005B1EFF" w:rsidRDefault="005B1EFF" w:rsidP="005B1EFF">
            <w:pPr>
              <w:jc w:val="center"/>
            </w:pPr>
            <w:r w:rsidRPr="005B1EFF">
              <w:t>5</w:t>
            </w:r>
          </w:p>
        </w:tc>
      </w:tr>
    </w:tbl>
    <w:p w:rsidR="005B1EFF" w:rsidRPr="005B1EFF" w:rsidRDefault="005B1EFF" w:rsidP="005B1EFF">
      <w:pPr>
        <w:spacing w:after="0"/>
      </w:pPr>
    </w:p>
    <w:p w:rsidR="005B1EFF" w:rsidRPr="005B1EFF" w:rsidRDefault="003902D0" w:rsidP="005B1EFF">
      <w:pPr>
        <w:numPr>
          <w:ilvl w:val="0"/>
          <w:numId w:val="4"/>
        </w:numPr>
        <w:spacing w:after="0"/>
        <w:contextualSpacing/>
      </w:pPr>
      <w:r>
        <w:t>‘</w:t>
      </w:r>
      <w:r w:rsidR="005B1EFF" w:rsidRPr="005B1EFF">
        <w:t>Mental status</w:t>
      </w:r>
      <w:r>
        <w:t>’</w:t>
      </w:r>
      <w:r w:rsidR="00F32EA1">
        <w:t xml:space="preserve"> - </w:t>
      </w:r>
      <w:r w:rsidR="005B1EFF" w:rsidRPr="005B1EFF">
        <w:t>Class Member</w:t>
      </w:r>
      <w:r w:rsidR="001F0472">
        <w:t>s</w:t>
      </w:r>
      <w:r w:rsidR="005B1EFF" w:rsidRPr="005B1EFF">
        <w:t xml:space="preserve"> report of paranoia, loneliness, depression, delusions, hallucinations, anger, agitation, aggression.  Class Members also had reports of psychiatric hospitalizations, difficulties taking psych medications, complaints regarding psychiatric services, difficulties coping and substance abuse.</w:t>
      </w:r>
    </w:p>
    <w:p w:rsidR="005B1EFF" w:rsidRPr="005B1EFF" w:rsidRDefault="003902D0" w:rsidP="005B1EFF">
      <w:pPr>
        <w:numPr>
          <w:ilvl w:val="0"/>
          <w:numId w:val="4"/>
        </w:numPr>
        <w:spacing w:after="0"/>
        <w:contextualSpacing/>
      </w:pPr>
      <w:r>
        <w:t>‘</w:t>
      </w:r>
      <w:r w:rsidR="005B1EFF" w:rsidRPr="005B1EFF">
        <w:t>Medical/dental</w:t>
      </w:r>
      <w:r>
        <w:t>’</w:t>
      </w:r>
      <w:r w:rsidR="001F0472">
        <w:t xml:space="preserve"> - </w:t>
      </w:r>
      <w:r w:rsidR="005B1EFF" w:rsidRPr="005B1EFF">
        <w:t>Class Members report an exacerbation of pre-existing medical conditions (emphysema, COPD, diabetes, hypertension, renal failure and hypercholesterolemia); and hospita</w:t>
      </w:r>
      <w:r w:rsidR="001F0472">
        <w:t xml:space="preserve">lization </w:t>
      </w:r>
      <w:proofErr w:type="gramStart"/>
      <w:r w:rsidR="001F0472">
        <w:t>as a result of</w:t>
      </w:r>
      <w:proofErr w:type="gramEnd"/>
      <w:r w:rsidR="001F0472">
        <w:t xml:space="preserve"> a declining</w:t>
      </w:r>
      <w:r w:rsidR="005B1EFF" w:rsidRPr="005B1EFF">
        <w:t xml:space="preserve"> medical conditions.  Other medical concerns included newly diagnoses medical conditions. Class Members also reported not having the resources to obtain dental services when needed.</w:t>
      </w:r>
    </w:p>
    <w:p w:rsidR="005B1EFF" w:rsidRPr="005B1EFF" w:rsidRDefault="003902D0" w:rsidP="005B1EFF">
      <w:pPr>
        <w:numPr>
          <w:ilvl w:val="0"/>
          <w:numId w:val="4"/>
        </w:numPr>
        <w:spacing w:after="0"/>
        <w:contextualSpacing/>
      </w:pPr>
      <w:r>
        <w:t>‘</w:t>
      </w:r>
      <w:r w:rsidR="005B1EFF" w:rsidRPr="005B1EFF">
        <w:t>Social service</w:t>
      </w:r>
      <w:r>
        <w:t>’</w:t>
      </w:r>
      <w:r w:rsidR="001F0472">
        <w:t xml:space="preserve"> - </w:t>
      </w:r>
      <w:r w:rsidR="005B1EFF" w:rsidRPr="005B1EFF">
        <w:t>Class Member</w:t>
      </w:r>
      <w:r w:rsidR="001F0472">
        <w:t>s</w:t>
      </w:r>
      <w:r w:rsidR="005B1EFF" w:rsidRPr="005B1EFF">
        <w:t xml:space="preserve"> report</w:t>
      </w:r>
      <w:r w:rsidR="001F0472">
        <w:t xml:space="preserve"> </w:t>
      </w:r>
      <w:r w:rsidR="005B1EFF" w:rsidRPr="005B1EFF">
        <w:t>not having an adequate food supply; and no resources for obtaining food.  Class Members also reported not having enough money to manage household needs and financial stressors.</w:t>
      </w:r>
    </w:p>
    <w:p w:rsidR="005B1EFF" w:rsidRPr="005B1EFF" w:rsidRDefault="003902D0" w:rsidP="005B1EFF">
      <w:pPr>
        <w:numPr>
          <w:ilvl w:val="0"/>
          <w:numId w:val="4"/>
        </w:numPr>
        <w:spacing w:after="0"/>
        <w:contextualSpacing/>
      </w:pPr>
      <w:r>
        <w:t>‘</w:t>
      </w:r>
      <w:r w:rsidR="005B1EFF" w:rsidRPr="005B1EFF">
        <w:t>Housing</w:t>
      </w:r>
      <w:r>
        <w:t>’</w:t>
      </w:r>
      <w:r w:rsidR="001F0472">
        <w:t xml:space="preserve"> -  c</w:t>
      </w:r>
      <w:r w:rsidR="005B1EFF" w:rsidRPr="005B1EFF">
        <w:t xml:space="preserve">oncerns identified as poorly managed units with water leaks, appliances in disrepair, reports of rats and bedbugs.  Class Members also reported living in unsafe and gang/drug infested neighborhoods.  </w:t>
      </w:r>
    </w:p>
    <w:p w:rsidR="005B1EFF" w:rsidRDefault="005B1EFF" w:rsidP="005B1EFF">
      <w:pPr>
        <w:numPr>
          <w:ilvl w:val="0"/>
          <w:numId w:val="4"/>
        </w:numPr>
        <w:spacing w:after="0"/>
        <w:contextualSpacing/>
      </w:pPr>
      <w:r w:rsidRPr="005B1EFF">
        <w:t>Agency service related concerns included Class Member</w:t>
      </w:r>
      <w:r w:rsidR="001F0472">
        <w:t>s</w:t>
      </w:r>
      <w:r w:rsidRPr="005B1EFF">
        <w:t xml:space="preserve"> complaints of agency staff not returning calls, request to change agency and refusing to provide services.</w:t>
      </w:r>
    </w:p>
    <w:p w:rsidR="00F32EA1" w:rsidRDefault="00F32EA1" w:rsidP="00F32EA1">
      <w:pPr>
        <w:spacing w:after="0"/>
        <w:ind w:left="720"/>
        <w:contextualSpacing/>
      </w:pPr>
    </w:p>
    <w:p w:rsidR="005B1EFF" w:rsidRPr="005B1EFF" w:rsidRDefault="001F0472" w:rsidP="005B1EFF">
      <w:pPr>
        <w:spacing w:after="0"/>
      </w:pPr>
      <w:r>
        <w:t>Note:  All concerns were reported to the community agencies for their follow-up.</w:t>
      </w:r>
    </w:p>
    <w:p w:rsidR="00194E43" w:rsidRPr="005B1EFF" w:rsidRDefault="00194E43" w:rsidP="005B1EFF">
      <w:pPr>
        <w:spacing w:after="0"/>
      </w:pPr>
    </w:p>
    <w:p w:rsidR="007A40B3" w:rsidRPr="007A40B3" w:rsidRDefault="007A40B3" w:rsidP="007A40B3">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rFonts w:cs="Times New Roman"/>
          <w:i/>
        </w:rPr>
      </w:pPr>
      <w:r w:rsidRPr="007A40B3">
        <w:rPr>
          <w:rFonts w:cs="Times New Roman"/>
          <w:i/>
        </w:rPr>
        <w:t xml:space="preserve">Clinical Case </w:t>
      </w:r>
      <w:bookmarkStart w:id="10" w:name="_Hlk520713166"/>
      <w:r w:rsidRPr="007A40B3">
        <w:rPr>
          <w:rFonts w:cs="Times New Roman"/>
          <w:i/>
        </w:rPr>
        <w:t>Review Panel</w:t>
      </w:r>
      <w:r w:rsidR="001508E8">
        <w:rPr>
          <w:rFonts w:cs="Times New Roman"/>
          <w:i/>
        </w:rPr>
        <w:t xml:space="preserve"> (CCRP)</w:t>
      </w:r>
    </w:p>
    <w:bookmarkEnd w:id="10"/>
    <w:p w:rsidR="001508E8" w:rsidRPr="001508E8" w:rsidRDefault="001508E8" w:rsidP="001508E8">
      <w:r w:rsidRPr="001508E8">
        <w:t xml:space="preserve">The Division of Mental Health </w:t>
      </w:r>
      <w:r w:rsidR="00812E9A">
        <w:t xml:space="preserve">conducts </w:t>
      </w:r>
      <w:r>
        <w:t>an independent</w:t>
      </w:r>
      <w:r w:rsidRPr="001508E8">
        <w:t xml:space="preserve"> review </w:t>
      </w:r>
      <w:r>
        <w:t xml:space="preserve">of </w:t>
      </w:r>
      <w:r w:rsidRPr="001508E8">
        <w:t xml:space="preserve">cases </w:t>
      </w:r>
      <w:r>
        <w:t>when</w:t>
      </w:r>
      <w:r w:rsidRPr="001508E8">
        <w:t xml:space="preserve"> Class Members</w:t>
      </w:r>
      <w:r>
        <w:t xml:space="preserve"> </w:t>
      </w:r>
      <w:r w:rsidRPr="001508E8">
        <w:t xml:space="preserve">have been identified by </w:t>
      </w:r>
      <w:r w:rsidR="00C24040">
        <w:t>CMHCs</w:t>
      </w:r>
      <w:r w:rsidRPr="001508E8">
        <w:t xml:space="preserve"> as having Complexities Affecting Seamless Transition</w:t>
      </w:r>
      <w:r>
        <w:t xml:space="preserve"> (CAST)</w:t>
      </w:r>
      <w:r w:rsidR="006147CD">
        <w:t xml:space="preserve">. </w:t>
      </w:r>
      <w:r>
        <w:t>CMHC</w:t>
      </w:r>
      <w:r w:rsidR="004F3C65">
        <w:t>s</w:t>
      </w:r>
      <w:r w:rsidR="00C24040">
        <w:t xml:space="preserve"> are required to present to the Clinical Case Review panel a synopsis which includes </w:t>
      </w:r>
      <w:r w:rsidR="006E550D">
        <w:t xml:space="preserve">initial presentation and </w:t>
      </w:r>
      <w:r w:rsidR="00C24040">
        <w:t xml:space="preserve">any barriers or challenges that have been identified as obstacles to achieve a seamless transition and that may impede a safe community living experience. </w:t>
      </w:r>
    </w:p>
    <w:p w:rsidR="001508E8" w:rsidRPr="001508E8" w:rsidRDefault="001508E8" w:rsidP="001508E8">
      <w:r w:rsidRPr="001508E8">
        <w:t>The Clinical Case Review Panel (</w:t>
      </w:r>
      <w:r w:rsidR="006147CD">
        <w:t>CCRP) conducts weekly</w:t>
      </w:r>
      <w:r w:rsidR="00C24040">
        <w:t xml:space="preserve"> </w:t>
      </w:r>
      <w:r w:rsidR="006147CD">
        <w:t>reviews</w:t>
      </w:r>
      <w:r w:rsidR="00C24040">
        <w:t xml:space="preserve"> as requested by the CMHCs</w:t>
      </w:r>
      <w:r w:rsidR="006147CD">
        <w:t xml:space="preserve">. </w:t>
      </w:r>
      <w:r w:rsidRPr="001508E8">
        <w:t>The CCRP process requires that the provider agency request a clinical review date, where a brief synopsis of the Class Members’ clinical signs and symptoms will be presented</w:t>
      </w:r>
      <w:r w:rsidR="004F3C65">
        <w:t>.</w:t>
      </w:r>
      <w:r w:rsidR="006147CD">
        <w:t xml:space="preserve"> </w:t>
      </w:r>
      <w:r w:rsidRPr="001508E8">
        <w:t>During the case review the panel reviews assessments, medications and other clinical documents prov</w:t>
      </w:r>
      <w:r w:rsidR="006147CD">
        <w:t xml:space="preserve">ided by the provider agency. </w:t>
      </w:r>
      <w:r w:rsidRPr="001508E8">
        <w:t>The agency presentation of the clinical information and the review of clinical documentation are used to make recommendation</w:t>
      </w:r>
      <w:r w:rsidR="004F3C65">
        <w:t>s</w:t>
      </w:r>
      <w:r w:rsidRPr="001508E8">
        <w:t xml:space="preserve"> to the agency</w:t>
      </w:r>
      <w:r w:rsidR="004F3C65">
        <w:t>.</w:t>
      </w:r>
    </w:p>
    <w:p w:rsidR="001508E8" w:rsidRPr="001508E8" w:rsidRDefault="001508E8" w:rsidP="001508E8">
      <w:r w:rsidRPr="001508E8">
        <w:t>During the period, the Clinical Case Review Panel conducted a tota</w:t>
      </w:r>
      <w:r w:rsidR="006147CD">
        <w:t xml:space="preserve">l of 77 </w:t>
      </w:r>
      <w:r w:rsidR="00C24040">
        <w:t>unduplicated CAST Class Members</w:t>
      </w:r>
      <w:r w:rsidR="006147CD">
        <w:t xml:space="preserve">. </w:t>
      </w:r>
      <w:r w:rsidRPr="001508E8">
        <w:t>For 6 of the 77 clinical case reviews</w:t>
      </w:r>
      <w:r w:rsidR="00370A3C">
        <w:t xml:space="preserve"> (8%)</w:t>
      </w:r>
      <w:r w:rsidRPr="001508E8">
        <w:t>, the panel requested that the agency reschedule due to the agency</w:t>
      </w:r>
      <w:r w:rsidR="00370A3C">
        <w:t>’s</w:t>
      </w:r>
      <w:r w:rsidRPr="001508E8">
        <w:t xml:space="preserve"> failure to provide sufficient clinical documentation.  The panel</w:t>
      </w:r>
      <w:r w:rsidR="004F3C65">
        <w:t>’s</w:t>
      </w:r>
      <w:r w:rsidRPr="001508E8">
        <w:t xml:space="preserve"> recommendations for the remaining 71 cases were as follows:</w:t>
      </w:r>
    </w:p>
    <w:tbl>
      <w:tblPr>
        <w:tblStyle w:val="TableGrid2"/>
        <w:tblW w:w="11046" w:type="dxa"/>
        <w:tblLook w:val="04A0" w:firstRow="1" w:lastRow="0" w:firstColumn="1" w:lastColumn="0" w:noHBand="0" w:noVBand="1"/>
      </w:tblPr>
      <w:tblGrid>
        <w:gridCol w:w="2209"/>
        <w:gridCol w:w="2209"/>
        <w:gridCol w:w="2209"/>
        <w:gridCol w:w="2209"/>
        <w:gridCol w:w="2210"/>
      </w:tblGrid>
      <w:tr w:rsidR="001508E8" w:rsidRPr="001508E8" w:rsidTr="000770C1">
        <w:trPr>
          <w:trHeight w:val="737"/>
        </w:trPr>
        <w:tc>
          <w:tcPr>
            <w:tcW w:w="2209" w:type="dxa"/>
            <w:shd w:val="clear" w:color="auto" w:fill="DDD9C3" w:themeFill="background2" w:themeFillShade="E6"/>
            <w:vAlign w:val="bottom"/>
          </w:tcPr>
          <w:p w:rsidR="001508E8" w:rsidRPr="001508E8" w:rsidRDefault="001508E8" w:rsidP="001508E8">
            <w:pPr>
              <w:jc w:val="center"/>
            </w:pPr>
            <w:r w:rsidRPr="001508E8">
              <w:t>Transition Pending</w:t>
            </w:r>
          </w:p>
        </w:tc>
        <w:tc>
          <w:tcPr>
            <w:tcW w:w="2209" w:type="dxa"/>
            <w:shd w:val="clear" w:color="auto" w:fill="DDD9C3" w:themeFill="background2" w:themeFillShade="E6"/>
            <w:vAlign w:val="bottom"/>
          </w:tcPr>
          <w:p w:rsidR="001508E8" w:rsidRPr="001508E8" w:rsidRDefault="001508E8" w:rsidP="001508E8">
            <w:pPr>
              <w:jc w:val="center"/>
            </w:pPr>
            <w:r w:rsidRPr="001508E8">
              <w:t>Proceed with Transition</w:t>
            </w:r>
          </w:p>
        </w:tc>
        <w:tc>
          <w:tcPr>
            <w:tcW w:w="2209" w:type="dxa"/>
            <w:shd w:val="clear" w:color="auto" w:fill="DDD9C3" w:themeFill="background2" w:themeFillShade="E6"/>
            <w:vAlign w:val="bottom"/>
          </w:tcPr>
          <w:p w:rsidR="001508E8" w:rsidRPr="001508E8" w:rsidRDefault="001508E8" w:rsidP="001508E8">
            <w:pPr>
              <w:jc w:val="center"/>
            </w:pPr>
            <w:r w:rsidRPr="001508E8">
              <w:t>Remove from Agency Roster (CAST)</w:t>
            </w:r>
          </w:p>
        </w:tc>
        <w:tc>
          <w:tcPr>
            <w:tcW w:w="2209" w:type="dxa"/>
            <w:shd w:val="clear" w:color="auto" w:fill="DDD9C3" w:themeFill="background2" w:themeFillShade="E6"/>
            <w:vAlign w:val="bottom"/>
          </w:tcPr>
          <w:p w:rsidR="001508E8" w:rsidRPr="001508E8" w:rsidRDefault="001508E8" w:rsidP="001508E8">
            <w:pPr>
              <w:jc w:val="center"/>
            </w:pPr>
            <w:r w:rsidRPr="001508E8">
              <w:t>No Change in Level of Care</w:t>
            </w:r>
          </w:p>
        </w:tc>
        <w:tc>
          <w:tcPr>
            <w:tcW w:w="2210" w:type="dxa"/>
            <w:shd w:val="clear" w:color="auto" w:fill="DDD9C3" w:themeFill="background2" w:themeFillShade="E6"/>
            <w:vAlign w:val="bottom"/>
          </w:tcPr>
          <w:p w:rsidR="001508E8" w:rsidRPr="001508E8" w:rsidRDefault="001508E8" w:rsidP="001508E8">
            <w:pPr>
              <w:jc w:val="center"/>
            </w:pPr>
            <w:r w:rsidRPr="001508E8">
              <w:t>Change in Level of Care</w:t>
            </w:r>
          </w:p>
        </w:tc>
      </w:tr>
      <w:tr w:rsidR="001508E8" w:rsidRPr="001508E8" w:rsidTr="000770C1">
        <w:trPr>
          <w:trHeight w:val="540"/>
        </w:trPr>
        <w:tc>
          <w:tcPr>
            <w:tcW w:w="2209" w:type="dxa"/>
            <w:vAlign w:val="bottom"/>
          </w:tcPr>
          <w:p w:rsidR="001508E8" w:rsidRPr="001508E8" w:rsidRDefault="001508E8" w:rsidP="00370A3C">
            <w:pPr>
              <w:jc w:val="center"/>
            </w:pPr>
            <w:r w:rsidRPr="001508E8">
              <w:t>13</w:t>
            </w:r>
            <w:r w:rsidR="00370A3C">
              <w:t xml:space="preserve">   </w:t>
            </w:r>
          </w:p>
        </w:tc>
        <w:tc>
          <w:tcPr>
            <w:tcW w:w="2209" w:type="dxa"/>
            <w:vAlign w:val="bottom"/>
          </w:tcPr>
          <w:p w:rsidR="001508E8" w:rsidRPr="001508E8" w:rsidRDefault="001508E8" w:rsidP="00370A3C">
            <w:pPr>
              <w:jc w:val="center"/>
            </w:pPr>
            <w:r w:rsidRPr="001508E8">
              <w:t>7</w:t>
            </w:r>
            <w:r w:rsidR="00370A3C">
              <w:t xml:space="preserve">   </w:t>
            </w:r>
          </w:p>
        </w:tc>
        <w:tc>
          <w:tcPr>
            <w:tcW w:w="2209" w:type="dxa"/>
            <w:vAlign w:val="bottom"/>
          </w:tcPr>
          <w:p w:rsidR="001508E8" w:rsidRPr="001508E8" w:rsidRDefault="001508E8" w:rsidP="00370A3C">
            <w:pPr>
              <w:jc w:val="center"/>
            </w:pPr>
            <w:r w:rsidRPr="001508E8">
              <w:t>8</w:t>
            </w:r>
            <w:r w:rsidR="00370A3C">
              <w:t xml:space="preserve">    </w:t>
            </w:r>
          </w:p>
        </w:tc>
        <w:tc>
          <w:tcPr>
            <w:tcW w:w="2209" w:type="dxa"/>
            <w:vAlign w:val="bottom"/>
          </w:tcPr>
          <w:p w:rsidR="001508E8" w:rsidRPr="001508E8" w:rsidRDefault="001508E8" w:rsidP="00370A3C">
            <w:pPr>
              <w:jc w:val="center"/>
            </w:pPr>
            <w:r w:rsidRPr="001508E8">
              <w:t>38</w:t>
            </w:r>
            <w:r w:rsidR="00370A3C">
              <w:t xml:space="preserve">     </w:t>
            </w:r>
          </w:p>
        </w:tc>
        <w:tc>
          <w:tcPr>
            <w:tcW w:w="2210" w:type="dxa"/>
            <w:vAlign w:val="bottom"/>
          </w:tcPr>
          <w:p w:rsidR="001508E8" w:rsidRPr="001508E8" w:rsidRDefault="001508E8" w:rsidP="00370A3C">
            <w:pPr>
              <w:jc w:val="center"/>
            </w:pPr>
            <w:r w:rsidRPr="001508E8">
              <w:t>5</w:t>
            </w:r>
            <w:r w:rsidR="00370A3C">
              <w:t xml:space="preserve">   </w:t>
            </w:r>
          </w:p>
        </w:tc>
      </w:tr>
    </w:tbl>
    <w:p w:rsidR="001508E8" w:rsidRPr="001508E8" w:rsidRDefault="001508E8" w:rsidP="00370A3C">
      <w:pPr>
        <w:jc w:val="center"/>
      </w:pPr>
    </w:p>
    <w:p w:rsidR="001508E8" w:rsidRPr="001508E8" w:rsidRDefault="00370A3C" w:rsidP="001508E8">
      <w:pPr>
        <w:numPr>
          <w:ilvl w:val="0"/>
          <w:numId w:val="7"/>
        </w:numPr>
        <w:contextualSpacing/>
      </w:pPr>
      <w:r>
        <w:t>‘</w:t>
      </w:r>
      <w:r w:rsidR="001508E8" w:rsidRPr="001508E8">
        <w:t>Transition Pending</w:t>
      </w:r>
      <w:r>
        <w:t>’</w:t>
      </w:r>
      <w:r w:rsidR="004F3C65">
        <w:t xml:space="preserve"> - </w:t>
      </w:r>
      <w:r w:rsidR="001508E8" w:rsidRPr="001508E8">
        <w:t xml:space="preserve">recommendations </w:t>
      </w:r>
      <w:r w:rsidR="00BB7841">
        <w:t>are</w:t>
      </w:r>
      <w:r w:rsidR="001508E8" w:rsidRPr="001508E8">
        <w:t xml:space="preserve"> made when the panel </w:t>
      </w:r>
      <w:r w:rsidR="00BB7841">
        <w:t>is</w:t>
      </w:r>
      <w:r w:rsidR="001508E8" w:rsidRPr="001508E8">
        <w:t xml:space="preserve"> not provided with sufficient clinical information to determine the Class Member</w:t>
      </w:r>
      <w:r w:rsidR="00BB7841">
        <w:t>’</w:t>
      </w:r>
      <w:r w:rsidR="001508E8" w:rsidRPr="001508E8">
        <w:t>s status.</w:t>
      </w:r>
      <w:r>
        <w:t xml:space="preserve"> </w:t>
      </w:r>
      <w:r w:rsidR="001508E8" w:rsidRPr="001508E8">
        <w:t xml:space="preserve">In such cases, the panel requested additional assessments, evaluations and/or clinical information. The CCRP recommended Transition Pending for 13 of 71 (18%) clinical cases reviewed. </w:t>
      </w:r>
    </w:p>
    <w:p w:rsidR="001508E8" w:rsidRPr="001508E8" w:rsidRDefault="00370A3C" w:rsidP="001508E8">
      <w:pPr>
        <w:numPr>
          <w:ilvl w:val="0"/>
          <w:numId w:val="7"/>
        </w:numPr>
        <w:contextualSpacing/>
      </w:pPr>
      <w:r>
        <w:t>‘</w:t>
      </w:r>
      <w:r w:rsidR="001508E8" w:rsidRPr="001508E8">
        <w:t xml:space="preserve">Proceed with </w:t>
      </w:r>
      <w:proofErr w:type="gramStart"/>
      <w:r w:rsidR="001508E8" w:rsidRPr="001508E8">
        <w:t>Transition</w:t>
      </w:r>
      <w:r>
        <w:t>‘</w:t>
      </w:r>
      <w:r w:rsidR="00964563">
        <w:t xml:space="preserve"> </w:t>
      </w:r>
      <w:r w:rsidR="004F3C65">
        <w:t>-</w:t>
      </w:r>
      <w:proofErr w:type="gramEnd"/>
      <w:r w:rsidR="004F3C65">
        <w:t xml:space="preserve"> </w:t>
      </w:r>
      <w:r w:rsidR="001508E8" w:rsidRPr="001508E8">
        <w:t xml:space="preserve">recommendations </w:t>
      </w:r>
      <w:r w:rsidR="00BB7841">
        <w:t>are</w:t>
      </w:r>
      <w:r w:rsidR="001508E8" w:rsidRPr="001508E8">
        <w:t xml:space="preserve"> made when the panel could not identify any barriers to </w:t>
      </w:r>
      <w:r w:rsidR="00BB7841">
        <w:t xml:space="preserve">prevent </w:t>
      </w:r>
      <w:r w:rsidR="006147CD">
        <w:t xml:space="preserve">transition. </w:t>
      </w:r>
      <w:r w:rsidR="001508E8" w:rsidRPr="001508E8">
        <w:t>The panel recommendation also includ</w:t>
      </w:r>
      <w:r w:rsidR="00BB7841">
        <w:t>es</w:t>
      </w:r>
      <w:r w:rsidR="001508E8" w:rsidRPr="001508E8">
        <w:t xml:space="preserve"> the type of housing most appropriate for the Class Member. The panel recommended that the CMHC</w:t>
      </w:r>
      <w:r w:rsidR="00BB7841">
        <w:t>s</w:t>
      </w:r>
      <w:r w:rsidR="001508E8" w:rsidRPr="001508E8">
        <w:t xml:space="preserve"> </w:t>
      </w:r>
      <w:r w:rsidR="00BB7841">
        <w:t>p</w:t>
      </w:r>
      <w:r w:rsidR="001508E8" w:rsidRPr="001508E8">
        <w:t xml:space="preserve">roceed with </w:t>
      </w:r>
      <w:r w:rsidR="00BB7841">
        <w:t>t</w:t>
      </w:r>
      <w:r w:rsidR="001508E8" w:rsidRPr="001508E8">
        <w:t>ransition for 7 of 71 (10%) clinical cases reviewed</w:t>
      </w:r>
      <w:r w:rsidR="00BB7841">
        <w:t>.</w:t>
      </w:r>
      <w:r w:rsidR="001508E8" w:rsidRPr="001508E8">
        <w:t xml:space="preserve"> </w:t>
      </w:r>
    </w:p>
    <w:p w:rsidR="001508E8" w:rsidRPr="001508E8" w:rsidRDefault="00370A3C" w:rsidP="001508E8">
      <w:pPr>
        <w:numPr>
          <w:ilvl w:val="0"/>
          <w:numId w:val="7"/>
        </w:numPr>
        <w:contextualSpacing/>
      </w:pPr>
      <w:r>
        <w:t>‘</w:t>
      </w:r>
      <w:r w:rsidR="001508E8" w:rsidRPr="001508E8">
        <w:t>Removed from Roster (CAST)</w:t>
      </w:r>
      <w:r>
        <w:t>’</w:t>
      </w:r>
      <w:r w:rsidR="001508E8" w:rsidRPr="001508E8">
        <w:t xml:space="preserve"> </w:t>
      </w:r>
      <w:r w:rsidR="00BB7841">
        <w:t xml:space="preserve">- </w:t>
      </w:r>
      <w:r w:rsidR="001508E8" w:rsidRPr="001508E8">
        <w:t xml:space="preserve">recommendations </w:t>
      </w:r>
      <w:r w:rsidR="00BB7841">
        <w:t>are</w:t>
      </w:r>
      <w:r w:rsidR="001508E8" w:rsidRPr="001508E8">
        <w:t xml:space="preserve"> made when it was determined that the Class Member: 1) refused the resident review</w:t>
      </w:r>
      <w:r w:rsidR="00BB7841">
        <w:t xml:space="preserve"> assessment</w:t>
      </w:r>
      <w:r w:rsidR="00C24040">
        <w:t xml:space="preserve"> </w:t>
      </w:r>
      <w:r w:rsidR="00031FEC">
        <w:t>or</w:t>
      </w:r>
      <w:r w:rsidR="00C24040">
        <w:t xml:space="preserve"> reassessment</w:t>
      </w:r>
      <w:r w:rsidR="001508E8" w:rsidRPr="001508E8">
        <w:t xml:space="preserve">; 2) decline/refused housing and/or transition services; 3) was unable to </w:t>
      </w:r>
      <w:r w:rsidR="00326A9C">
        <w:t xml:space="preserve">be </w:t>
      </w:r>
      <w:r w:rsidR="001508E8" w:rsidRPr="001508E8">
        <w:t>locate</w:t>
      </w:r>
      <w:r w:rsidR="00326A9C">
        <w:t>d</w:t>
      </w:r>
      <w:r w:rsidR="001508E8" w:rsidRPr="001508E8">
        <w:t>; 4) transferred out of the IMD</w:t>
      </w:r>
      <w:r w:rsidR="00BB7841">
        <w:t xml:space="preserve"> (whereabout unknown)</w:t>
      </w:r>
      <w:r w:rsidR="001508E8" w:rsidRPr="001508E8">
        <w:t>; or 5) reassigned to another agency. The panel recommend</w:t>
      </w:r>
      <w:r>
        <w:t>ed</w:t>
      </w:r>
      <w:r w:rsidR="001508E8" w:rsidRPr="001508E8">
        <w:t xml:space="preserve"> 8 of 71 (11%) clinical cases reviewed</w:t>
      </w:r>
      <w:r w:rsidR="008A5FA7">
        <w:t xml:space="preserve"> to be removed from the CAST roster</w:t>
      </w:r>
      <w:r w:rsidR="001508E8" w:rsidRPr="001508E8">
        <w:t>.</w:t>
      </w:r>
    </w:p>
    <w:p w:rsidR="001508E8" w:rsidRPr="001508E8" w:rsidRDefault="008A5FA7" w:rsidP="001508E8">
      <w:pPr>
        <w:numPr>
          <w:ilvl w:val="0"/>
          <w:numId w:val="7"/>
        </w:numPr>
        <w:contextualSpacing/>
      </w:pPr>
      <w:r>
        <w:t>‘</w:t>
      </w:r>
      <w:r w:rsidR="001508E8" w:rsidRPr="001508E8">
        <w:t>No Change in Level of Care</w:t>
      </w:r>
      <w:r>
        <w:t>’</w:t>
      </w:r>
      <w:r w:rsidR="00BB7841">
        <w:t xml:space="preserve"> - </w:t>
      </w:r>
      <w:r w:rsidR="001508E8" w:rsidRPr="001508E8">
        <w:t xml:space="preserve">recommendations </w:t>
      </w:r>
      <w:r w:rsidR="00BB7841">
        <w:t>are</w:t>
      </w:r>
      <w:r w:rsidR="001508E8" w:rsidRPr="001508E8">
        <w:t xml:space="preserve"> made when the Clinical Case Review panel determine</w:t>
      </w:r>
      <w:r w:rsidR="00BB7841">
        <w:t>s</w:t>
      </w:r>
      <w:r w:rsidR="001508E8" w:rsidRPr="001508E8">
        <w:t xml:space="preserve"> that </w:t>
      </w:r>
      <w:r>
        <w:t xml:space="preserve">the </w:t>
      </w:r>
      <w:r w:rsidR="001508E8" w:rsidRPr="001508E8">
        <w:t>presenting clinical</w:t>
      </w:r>
      <w:r>
        <w:t xml:space="preserve">, behavioral or risk </w:t>
      </w:r>
      <w:r w:rsidR="001508E8" w:rsidRPr="001508E8">
        <w:t>condition</w:t>
      </w:r>
      <w:r>
        <w:t xml:space="preserve">s support the need for a more intense level of care than what can safely </w:t>
      </w:r>
      <w:r w:rsidR="00DF4F90">
        <w:t xml:space="preserve">be </w:t>
      </w:r>
      <w:r>
        <w:t>provided in a community-based setting and</w:t>
      </w:r>
      <w:r w:rsidR="00BB7841">
        <w:t>/or</w:t>
      </w:r>
      <w:r>
        <w:t xml:space="preserve"> </w:t>
      </w:r>
      <w:r w:rsidR="001508E8" w:rsidRPr="001508E8">
        <w:t xml:space="preserve">until a reassessment has been completed </w:t>
      </w:r>
      <w:r>
        <w:t>to</w:t>
      </w:r>
      <w:r w:rsidR="001508E8" w:rsidRPr="001508E8">
        <w:t xml:space="preserve"> determined that the Class Member can safely transition.  The panel recommended No Change in Level of Care for 38 of 71 (54%) clinical cases reviewed.</w:t>
      </w:r>
      <w:r w:rsidR="001F3C39">
        <w:t xml:space="preserve">  </w:t>
      </w:r>
      <w:r w:rsidR="00B2166A">
        <w:t>These are the most common themes of conditions that support ‘no change in level of care’, i.e., meaning that the Class Member should stay in LTC (at this time) based on the Class Member’s current presentation: (1) physical aggression/explosive behaviors, (2) inappropriate sexual behaviors, (3) active delusions, hallucinations and/or impulsivity.   CAST Class Members have an annual Resident Review reassessment or may request reassessment up to three times a year.</w:t>
      </w:r>
    </w:p>
    <w:p w:rsidR="001508E8" w:rsidRDefault="008A5FA7" w:rsidP="001508E8">
      <w:pPr>
        <w:numPr>
          <w:ilvl w:val="0"/>
          <w:numId w:val="7"/>
        </w:numPr>
        <w:contextualSpacing/>
      </w:pPr>
      <w:r>
        <w:t>‘</w:t>
      </w:r>
      <w:r w:rsidR="001508E8" w:rsidRPr="001508E8">
        <w:t>Change in Level of Care</w:t>
      </w:r>
      <w:r>
        <w:t>’</w:t>
      </w:r>
      <w:r w:rsidR="001508E8" w:rsidRPr="001508E8">
        <w:t xml:space="preserve"> recommendations </w:t>
      </w:r>
      <w:r w:rsidR="00BB7841">
        <w:t>- are</w:t>
      </w:r>
      <w:r w:rsidR="001508E8" w:rsidRPr="001508E8">
        <w:t xml:space="preserve"> made for those Class Members who were identified to have a decline in their medical</w:t>
      </w:r>
      <w:r>
        <w:t xml:space="preserve"> or cognitive or </w:t>
      </w:r>
      <w:r w:rsidR="001508E8" w:rsidRPr="001508E8">
        <w:t>psychiatric condition(s) and/or the ability to care for themselves, requir</w:t>
      </w:r>
      <w:r w:rsidR="00BB7841">
        <w:t>ing</w:t>
      </w:r>
      <w:r w:rsidR="001508E8" w:rsidRPr="001508E8">
        <w:t xml:space="preserve"> 24-hour nursing </w:t>
      </w:r>
      <w:r w:rsidR="00BB7841">
        <w:t>care</w:t>
      </w:r>
      <w:r w:rsidR="00842F4D">
        <w:t xml:space="preserve">. </w:t>
      </w:r>
      <w:r w:rsidR="001508E8" w:rsidRPr="001508E8">
        <w:t>The CCRP recommended a Change in Level of Care for 5 of 71 (7%) of the clinical cases reviewed.</w:t>
      </w:r>
    </w:p>
    <w:p w:rsidR="001508E8" w:rsidRDefault="001508E8" w:rsidP="001508E8">
      <w:r w:rsidRPr="001508E8">
        <w:t>During this reporting period, it was</w:t>
      </w:r>
      <w:r w:rsidR="008A5FA7">
        <w:t xml:space="preserve"> observed</w:t>
      </w:r>
      <w:r w:rsidRPr="001508E8">
        <w:t xml:space="preserve"> that there has been a decline in the number of agency requests for clinical case reviews.  This decline has also decrease</w:t>
      </w:r>
      <w:r w:rsidR="008A5FA7">
        <w:t>d</w:t>
      </w:r>
      <w:r w:rsidRPr="001508E8">
        <w:t xml:space="preserve"> </w:t>
      </w:r>
      <w:r w:rsidR="008A5FA7">
        <w:t xml:space="preserve">the </w:t>
      </w:r>
      <w:r w:rsidRPr="001508E8">
        <w:t xml:space="preserve">number of Class Members who have been identified as having Complexities Affecting Seamless Transition (CAST).  </w:t>
      </w:r>
    </w:p>
    <w:p w:rsidR="001A7C28" w:rsidRPr="007A40B3" w:rsidRDefault="001A7C28" w:rsidP="001A7C28">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rFonts w:cs="Times New Roman"/>
          <w:i/>
        </w:rPr>
      </w:pPr>
      <w:bookmarkStart w:id="11" w:name="_Hlk520713172"/>
      <w:r>
        <w:rPr>
          <w:rFonts w:cs="Times New Roman"/>
          <w:i/>
        </w:rPr>
        <w:t>Specialized Assessments – Neuropsychological Assessments and Occupational Therapy Assessments</w:t>
      </w:r>
    </w:p>
    <w:bookmarkEnd w:id="11"/>
    <w:p w:rsidR="007A40B3" w:rsidRDefault="00D479D4" w:rsidP="00E00057">
      <w:pPr>
        <w:contextualSpacing/>
        <w:rPr>
          <w:rFonts w:cs="Times New Roman"/>
        </w:rPr>
      </w:pPr>
      <w:r>
        <w:rPr>
          <w:rFonts w:cs="Times New Roman"/>
        </w:rPr>
        <w:t>Occupational Therapy Assessments:</w:t>
      </w:r>
      <w:r w:rsidR="00BB7841">
        <w:rPr>
          <w:rFonts w:cs="Times New Roman"/>
        </w:rPr>
        <w:t xml:space="preserve">   N= 9</w:t>
      </w:r>
    </w:p>
    <w:p w:rsidR="00D479D4" w:rsidRDefault="00D479D4" w:rsidP="00E00057">
      <w:pPr>
        <w:contextualSpacing/>
        <w:rPr>
          <w:rFonts w:cs="Times New Roman"/>
        </w:rPr>
      </w:pPr>
    </w:p>
    <w:tbl>
      <w:tblPr>
        <w:tblStyle w:val="TableGrid"/>
        <w:tblW w:w="0" w:type="auto"/>
        <w:tblInd w:w="1975" w:type="dxa"/>
        <w:tblLook w:val="04A0" w:firstRow="1" w:lastRow="0" w:firstColumn="1" w:lastColumn="0" w:noHBand="0" w:noVBand="1"/>
      </w:tblPr>
      <w:tblGrid>
        <w:gridCol w:w="2834"/>
        <w:gridCol w:w="2583"/>
        <w:gridCol w:w="1415"/>
      </w:tblGrid>
      <w:tr w:rsidR="00FF04F4" w:rsidRPr="00F31A08" w:rsidTr="00F31A08">
        <w:trPr>
          <w:trHeight w:val="97"/>
          <w:tblHeader/>
        </w:trPr>
        <w:tc>
          <w:tcPr>
            <w:tcW w:w="2834" w:type="dxa"/>
            <w:shd w:val="clear" w:color="auto" w:fill="DDD9C3" w:themeFill="background2" w:themeFillShade="E6"/>
          </w:tcPr>
          <w:p w:rsidR="00FF04F4" w:rsidRPr="00F31A08" w:rsidRDefault="00FF04F4" w:rsidP="00D479D4">
            <w:pPr>
              <w:contextualSpacing/>
              <w:jc w:val="center"/>
              <w:rPr>
                <w:rFonts w:cs="Times New Roman"/>
                <w:sz w:val="20"/>
                <w:szCs w:val="20"/>
              </w:rPr>
            </w:pPr>
            <w:bookmarkStart w:id="12" w:name="_Hlk520713396"/>
            <w:r w:rsidRPr="00F31A08">
              <w:rPr>
                <w:rFonts w:cs="Times New Roman"/>
                <w:sz w:val="20"/>
                <w:szCs w:val="20"/>
              </w:rPr>
              <w:t>Action</w:t>
            </w:r>
          </w:p>
        </w:tc>
        <w:tc>
          <w:tcPr>
            <w:tcW w:w="2583" w:type="dxa"/>
            <w:shd w:val="clear" w:color="auto" w:fill="DDD9C3" w:themeFill="background2" w:themeFillShade="E6"/>
          </w:tcPr>
          <w:p w:rsidR="00FF04F4" w:rsidRPr="00F31A08" w:rsidRDefault="00FF04F4" w:rsidP="00D479D4">
            <w:pPr>
              <w:contextualSpacing/>
              <w:jc w:val="center"/>
              <w:rPr>
                <w:rFonts w:cs="Times New Roman"/>
                <w:sz w:val="20"/>
                <w:szCs w:val="20"/>
              </w:rPr>
            </w:pPr>
            <w:r w:rsidRPr="00F31A08">
              <w:rPr>
                <w:rFonts w:cs="Times New Roman"/>
                <w:sz w:val="20"/>
                <w:szCs w:val="20"/>
              </w:rPr>
              <w:t>Total</w:t>
            </w:r>
          </w:p>
        </w:tc>
        <w:tc>
          <w:tcPr>
            <w:tcW w:w="1415" w:type="dxa"/>
            <w:shd w:val="clear" w:color="auto" w:fill="DDD9C3" w:themeFill="background2" w:themeFillShade="E6"/>
          </w:tcPr>
          <w:p w:rsidR="00FF04F4" w:rsidRPr="00F31A08" w:rsidRDefault="00FF04F4" w:rsidP="00D479D4">
            <w:pPr>
              <w:contextualSpacing/>
              <w:jc w:val="center"/>
              <w:rPr>
                <w:rFonts w:cs="Times New Roman"/>
                <w:sz w:val="20"/>
                <w:szCs w:val="20"/>
              </w:rPr>
            </w:pPr>
            <w:r w:rsidRPr="00F31A08">
              <w:rPr>
                <w:rFonts w:cs="Times New Roman"/>
                <w:sz w:val="20"/>
                <w:szCs w:val="20"/>
              </w:rPr>
              <w:t>Percentage</w:t>
            </w:r>
          </w:p>
        </w:tc>
      </w:tr>
      <w:tr w:rsidR="00FF04F4" w:rsidRPr="00F31A08" w:rsidTr="00F31A08">
        <w:trPr>
          <w:trHeight w:val="91"/>
        </w:trPr>
        <w:tc>
          <w:tcPr>
            <w:tcW w:w="2834" w:type="dxa"/>
          </w:tcPr>
          <w:p w:rsidR="00FF04F4" w:rsidRPr="00F31A08" w:rsidRDefault="00553A33" w:rsidP="00E00057">
            <w:pPr>
              <w:contextualSpacing/>
              <w:rPr>
                <w:rFonts w:cs="Times New Roman"/>
                <w:sz w:val="20"/>
                <w:szCs w:val="20"/>
              </w:rPr>
            </w:pPr>
            <w:r w:rsidRPr="00F31A08">
              <w:rPr>
                <w:rFonts w:cs="Times New Roman"/>
                <w:sz w:val="20"/>
                <w:szCs w:val="20"/>
              </w:rPr>
              <w:t>Total r</w:t>
            </w:r>
            <w:r w:rsidR="00FF04F4" w:rsidRPr="00F31A08">
              <w:rPr>
                <w:rFonts w:cs="Times New Roman"/>
                <w:sz w:val="20"/>
                <w:szCs w:val="20"/>
              </w:rPr>
              <w:t>eferred for assessment</w:t>
            </w:r>
          </w:p>
        </w:tc>
        <w:tc>
          <w:tcPr>
            <w:tcW w:w="2583" w:type="dxa"/>
          </w:tcPr>
          <w:p w:rsidR="00FF04F4" w:rsidRPr="00F31A08" w:rsidRDefault="00FF04F4" w:rsidP="00922286">
            <w:pPr>
              <w:contextualSpacing/>
              <w:jc w:val="center"/>
              <w:rPr>
                <w:rFonts w:cs="Times New Roman"/>
                <w:sz w:val="20"/>
                <w:szCs w:val="20"/>
              </w:rPr>
            </w:pPr>
            <w:r w:rsidRPr="00F31A08">
              <w:rPr>
                <w:rFonts w:cs="Times New Roman"/>
                <w:sz w:val="20"/>
                <w:szCs w:val="20"/>
              </w:rPr>
              <w:t>9</w:t>
            </w:r>
          </w:p>
        </w:tc>
        <w:tc>
          <w:tcPr>
            <w:tcW w:w="1415" w:type="dxa"/>
          </w:tcPr>
          <w:p w:rsidR="00FF04F4" w:rsidRPr="00F31A08" w:rsidRDefault="00FF04F4" w:rsidP="00922286">
            <w:pPr>
              <w:contextualSpacing/>
              <w:jc w:val="center"/>
              <w:rPr>
                <w:rFonts w:cs="Times New Roman"/>
                <w:sz w:val="20"/>
                <w:szCs w:val="20"/>
              </w:rPr>
            </w:pPr>
          </w:p>
        </w:tc>
      </w:tr>
      <w:tr w:rsidR="00FF04F4" w:rsidRPr="00F31A08" w:rsidTr="00F31A08">
        <w:trPr>
          <w:trHeight w:val="194"/>
        </w:trPr>
        <w:tc>
          <w:tcPr>
            <w:tcW w:w="2834" w:type="dxa"/>
          </w:tcPr>
          <w:p w:rsidR="00FF04F4" w:rsidRPr="00F31A08" w:rsidRDefault="00FF04F4" w:rsidP="00E00057">
            <w:pPr>
              <w:contextualSpacing/>
              <w:rPr>
                <w:rFonts w:cs="Times New Roman"/>
                <w:b/>
                <w:sz w:val="20"/>
                <w:szCs w:val="20"/>
              </w:rPr>
            </w:pPr>
            <w:r w:rsidRPr="00F31A08">
              <w:rPr>
                <w:b/>
                <w:sz w:val="20"/>
                <w:szCs w:val="20"/>
              </w:rPr>
              <w:t xml:space="preserve">Referral </w:t>
            </w:r>
            <w:r w:rsidR="00553A33" w:rsidRPr="00F31A08">
              <w:rPr>
                <w:b/>
                <w:sz w:val="20"/>
                <w:szCs w:val="20"/>
              </w:rPr>
              <w:t>evaluations</w:t>
            </w:r>
            <w:r w:rsidRPr="00F31A08">
              <w:rPr>
                <w:b/>
                <w:sz w:val="20"/>
                <w:szCs w:val="20"/>
              </w:rPr>
              <w:t xml:space="preserve"> completed   </w:t>
            </w:r>
          </w:p>
        </w:tc>
        <w:tc>
          <w:tcPr>
            <w:tcW w:w="2583" w:type="dxa"/>
          </w:tcPr>
          <w:p w:rsidR="00FF04F4" w:rsidRPr="00F31A08" w:rsidRDefault="00FF04F4" w:rsidP="00922286">
            <w:pPr>
              <w:contextualSpacing/>
              <w:jc w:val="center"/>
              <w:rPr>
                <w:rFonts w:cs="Times New Roman"/>
                <w:b/>
                <w:sz w:val="20"/>
                <w:szCs w:val="20"/>
              </w:rPr>
            </w:pPr>
            <w:r w:rsidRPr="00F31A08">
              <w:rPr>
                <w:rFonts w:cs="Times New Roman"/>
                <w:b/>
                <w:sz w:val="20"/>
                <w:szCs w:val="20"/>
              </w:rPr>
              <w:t>8</w:t>
            </w:r>
          </w:p>
        </w:tc>
        <w:tc>
          <w:tcPr>
            <w:tcW w:w="1415" w:type="dxa"/>
          </w:tcPr>
          <w:p w:rsidR="00FF04F4" w:rsidRPr="00F31A08" w:rsidRDefault="00FF04F4" w:rsidP="00922286">
            <w:pPr>
              <w:contextualSpacing/>
              <w:jc w:val="center"/>
              <w:rPr>
                <w:rFonts w:cs="Times New Roman"/>
                <w:sz w:val="20"/>
                <w:szCs w:val="20"/>
              </w:rPr>
            </w:pPr>
            <w:r w:rsidRPr="00F31A08">
              <w:rPr>
                <w:rFonts w:cs="Times New Roman"/>
                <w:sz w:val="20"/>
                <w:szCs w:val="20"/>
              </w:rPr>
              <w:t>89%</w:t>
            </w:r>
          </w:p>
        </w:tc>
      </w:tr>
      <w:tr w:rsidR="00FF04F4" w:rsidRPr="00F31A08" w:rsidTr="00F31A08">
        <w:trPr>
          <w:trHeight w:val="91"/>
        </w:trPr>
        <w:tc>
          <w:tcPr>
            <w:tcW w:w="2834" w:type="dxa"/>
          </w:tcPr>
          <w:p w:rsidR="00FF04F4" w:rsidRPr="00F31A08" w:rsidRDefault="00FF04F4" w:rsidP="00E00057">
            <w:pPr>
              <w:contextualSpacing/>
              <w:rPr>
                <w:rFonts w:cs="Times New Roman"/>
                <w:sz w:val="20"/>
                <w:szCs w:val="20"/>
              </w:rPr>
            </w:pPr>
            <w:r w:rsidRPr="00F31A08">
              <w:rPr>
                <w:rFonts w:cs="Times New Roman"/>
                <w:sz w:val="20"/>
                <w:szCs w:val="20"/>
              </w:rPr>
              <w:t>Referred – No Show</w:t>
            </w:r>
          </w:p>
        </w:tc>
        <w:tc>
          <w:tcPr>
            <w:tcW w:w="2583" w:type="dxa"/>
          </w:tcPr>
          <w:p w:rsidR="00FF04F4" w:rsidRPr="00F31A08" w:rsidRDefault="00FF04F4" w:rsidP="00922286">
            <w:pPr>
              <w:contextualSpacing/>
              <w:jc w:val="center"/>
              <w:rPr>
                <w:rFonts w:cs="Times New Roman"/>
                <w:sz w:val="20"/>
                <w:szCs w:val="20"/>
              </w:rPr>
            </w:pPr>
            <w:r w:rsidRPr="00F31A08">
              <w:rPr>
                <w:rFonts w:cs="Times New Roman"/>
                <w:sz w:val="20"/>
                <w:szCs w:val="20"/>
              </w:rPr>
              <w:t>1</w:t>
            </w:r>
          </w:p>
        </w:tc>
        <w:tc>
          <w:tcPr>
            <w:tcW w:w="1415" w:type="dxa"/>
          </w:tcPr>
          <w:p w:rsidR="00FF04F4" w:rsidRPr="00F31A08" w:rsidRDefault="00FF04F4" w:rsidP="00922286">
            <w:pPr>
              <w:contextualSpacing/>
              <w:jc w:val="center"/>
              <w:rPr>
                <w:rFonts w:cs="Times New Roman"/>
                <w:sz w:val="20"/>
                <w:szCs w:val="20"/>
              </w:rPr>
            </w:pPr>
            <w:r w:rsidRPr="00F31A08">
              <w:rPr>
                <w:rFonts w:cs="Times New Roman"/>
                <w:sz w:val="20"/>
                <w:szCs w:val="20"/>
              </w:rPr>
              <w:t>11%</w:t>
            </w:r>
          </w:p>
        </w:tc>
      </w:tr>
      <w:tr w:rsidR="00FF04F4" w:rsidRPr="00F31A08" w:rsidTr="00F31A08">
        <w:trPr>
          <w:trHeight w:val="194"/>
        </w:trPr>
        <w:tc>
          <w:tcPr>
            <w:tcW w:w="2834" w:type="dxa"/>
          </w:tcPr>
          <w:p w:rsidR="00FF04F4" w:rsidRPr="00F31A08" w:rsidRDefault="00FF04F4" w:rsidP="00E00057">
            <w:pPr>
              <w:contextualSpacing/>
              <w:rPr>
                <w:rFonts w:cs="Times New Roman"/>
                <w:sz w:val="20"/>
                <w:szCs w:val="20"/>
              </w:rPr>
            </w:pPr>
            <w:r w:rsidRPr="00F31A08">
              <w:rPr>
                <w:rFonts w:cs="Times New Roman"/>
                <w:sz w:val="20"/>
                <w:szCs w:val="20"/>
              </w:rPr>
              <w:t>Referrals recommended for transition</w:t>
            </w:r>
          </w:p>
        </w:tc>
        <w:tc>
          <w:tcPr>
            <w:tcW w:w="2583" w:type="dxa"/>
          </w:tcPr>
          <w:p w:rsidR="00FF04F4" w:rsidRPr="00F31A08" w:rsidRDefault="00FF04F4" w:rsidP="00922286">
            <w:pPr>
              <w:contextualSpacing/>
              <w:jc w:val="center"/>
              <w:rPr>
                <w:rFonts w:cs="Times New Roman"/>
                <w:sz w:val="20"/>
                <w:szCs w:val="20"/>
              </w:rPr>
            </w:pPr>
            <w:r w:rsidRPr="00F31A08">
              <w:rPr>
                <w:rFonts w:cs="Times New Roman"/>
                <w:sz w:val="20"/>
                <w:szCs w:val="20"/>
              </w:rPr>
              <w:t>8</w:t>
            </w:r>
          </w:p>
        </w:tc>
        <w:tc>
          <w:tcPr>
            <w:tcW w:w="1415" w:type="dxa"/>
          </w:tcPr>
          <w:p w:rsidR="00FF04F4" w:rsidRPr="00F31A08" w:rsidRDefault="00B02811" w:rsidP="00922286">
            <w:pPr>
              <w:contextualSpacing/>
              <w:jc w:val="center"/>
              <w:rPr>
                <w:rFonts w:cs="Times New Roman"/>
                <w:sz w:val="20"/>
                <w:szCs w:val="20"/>
              </w:rPr>
            </w:pPr>
            <w:r w:rsidRPr="00F31A08">
              <w:rPr>
                <w:rFonts w:cs="Times New Roman"/>
                <w:sz w:val="20"/>
                <w:szCs w:val="20"/>
              </w:rPr>
              <w:t>100%</w:t>
            </w:r>
          </w:p>
        </w:tc>
      </w:tr>
      <w:tr w:rsidR="00FF04F4" w:rsidRPr="00F31A08" w:rsidTr="00F31A08">
        <w:trPr>
          <w:trHeight w:val="189"/>
        </w:trPr>
        <w:tc>
          <w:tcPr>
            <w:tcW w:w="2834" w:type="dxa"/>
          </w:tcPr>
          <w:p w:rsidR="00FF04F4" w:rsidRPr="00F31A08" w:rsidRDefault="00FF04F4" w:rsidP="00E00057">
            <w:pPr>
              <w:contextualSpacing/>
              <w:rPr>
                <w:rFonts w:cs="Times New Roman"/>
                <w:sz w:val="20"/>
                <w:szCs w:val="20"/>
              </w:rPr>
            </w:pPr>
            <w:r w:rsidRPr="00F31A08">
              <w:rPr>
                <w:rFonts w:cs="Times New Roman"/>
                <w:sz w:val="20"/>
                <w:szCs w:val="20"/>
              </w:rPr>
              <w:t>Not recommended for transition</w:t>
            </w:r>
          </w:p>
        </w:tc>
        <w:tc>
          <w:tcPr>
            <w:tcW w:w="2583" w:type="dxa"/>
          </w:tcPr>
          <w:p w:rsidR="00FF04F4" w:rsidRPr="00F31A08" w:rsidRDefault="00FF04F4" w:rsidP="00922286">
            <w:pPr>
              <w:contextualSpacing/>
              <w:jc w:val="center"/>
              <w:rPr>
                <w:rFonts w:cs="Times New Roman"/>
                <w:sz w:val="20"/>
                <w:szCs w:val="20"/>
              </w:rPr>
            </w:pPr>
            <w:r w:rsidRPr="00F31A08">
              <w:rPr>
                <w:rFonts w:cs="Times New Roman"/>
                <w:sz w:val="20"/>
                <w:szCs w:val="20"/>
              </w:rPr>
              <w:t>0</w:t>
            </w:r>
          </w:p>
        </w:tc>
        <w:tc>
          <w:tcPr>
            <w:tcW w:w="1415" w:type="dxa"/>
          </w:tcPr>
          <w:p w:rsidR="00FF04F4" w:rsidRPr="00F31A08" w:rsidRDefault="00FF04F4" w:rsidP="00922286">
            <w:pPr>
              <w:contextualSpacing/>
              <w:jc w:val="center"/>
              <w:rPr>
                <w:rFonts w:cs="Times New Roman"/>
                <w:sz w:val="20"/>
                <w:szCs w:val="20"/>
              </w:rPr>
            </w:pPr>
            <w:r w:rsidRPr="00F31A08">
              <w:rPr>
                <w:rFonts w:cs="Times New Roman"/>
                <w:sz w:val="20"/>
                <w:szCs w:val="20"/>
              </w:rPr>
              <w:t>0</w:t>
            </w:r>
          </w:p>
        </w:tc>
      </w:tr>
      <w:tr w:rsidR="00FF04F4" w:rsidRPr="00F31A08" w:rsidTr="00F31A08">
        <w:trPr>
          <w:trHeight w:val="97"/>
        </w:trPr>
        <w:tc>
          <w:tcPr>
            <w:tcW w:w="2834" w:type="dxa"/>
          </w:tcPr>
          <w:p w:rsidR="00FF04F4" w:rsidRPr="00F31A08" w:rsidRDefault="00FF04F4" w:rsidP="00E00057">
            <w:pPr>
              <w:contextualSpacing/>
              <w:rPr>
                <w:rFonts w:cs="Times New Roman"/>
                <w:sz w:val="20"/>
                <w:szCs w:val="20"/>
              </w:rPr>
            </w:pPr>
            <w:r w:rsidRPr="00F31A08">
              <w:rPr>
                <w:rFonts w:cs="Times New Roman"/>
                <w:sz w:val="20"/>
                <w:szCs w:val="20"/>
              </w:rPr>
              <w:t>Assigned and transitioned</w:t>
            </w:r>
          </w:p>
        </w:tc>
        <w:tc>
          <w:tcPr>
            <w:tcW w:w="2583" w:type="dxa"/>
          </w:tcPr>
          <w:p w:rsidR="00FF04F4" w:rsidRPr="00F31A08" w:rsidRDefault="00FF04F4" w:rsidP="00922286">
            <w:pPr>
              <w:contextualSpacing/>
              <w:jc w:val="center"/>
              <w:rPr>
                <w:rFonts w:cs="Times New Roman"/>
                <w:sz w:val="20"/>
                <w:szCs w:val="20"/>
              </w:rPr>
            </w:pPr>
            <w:r w:rsidRPr="00F31A08">
              <w:rPr>
                <w:rFonts w:cs="Times New Roman"/>
                <w:sz w:val="20"/>
                <w:szCs w:val="20"/>
              </w:rPr>
              <w:t>0*</w:t>
            </w:r>
            <w:r w:rsidR="00BB7841" w:rsidRPr="00F31A08">
              <w:rPr>
                <w:rFonts w:cs="Times New Roman"/>
                <w:sz w:val="20"/>
                <w:szCs w:val="20"/>
              </w:rPr>
              <w:t xml:space="preserve"> </w:t>
            </w:r>
          </w:p>
        </w:tc>
        <w:tc>
          <w:tcPr>
            <w:tcW w:w="1415" w:type="dxa"/>
          </w:tcPr>
          <w:p w:rsidR="00FF04F4" w:rsidRPr="00F31A08" w:rsidRDefault="00FF04F4" w:rsidP="00922286">
            <w:pPr>
              <w:contextualSpacing/>
              <w:jc w:val="center"/>
              <w:rPr>
                <w:rFonts w:cs="Times New Roman"/>
                <w:sz w:val="20"/>
                <w:szCs w:val="20"/>
              </w:rPr>
            </w:pPr>
            <w:r w:rsidRPr="00F31A08">
              <w:rPr>
                <w:rFonts w:cs="Times New Roman"/>
                <w:sz w:val="20"/>
                <w:szCs w:val="20"/>
              </w:rPr>
              <w:t>0</w:t>
            </w:r>
          </w:p>
        </w:tc>
      </w:tr>
      <w:tr w:rsidR="00FF04F4" w:rsidRPr="00F31A08" w:rsidTr="00F31A08">
        <w:trPr>
          <w:trHeight w:val="91"/>
        </w:trPr>
        <w:tc>
          <w:tcPr>
            <w:tcW w:w="2834" w:type="dxa"/>
          </w:tcPr>
          <w:p w:rsidR="00FF04F4" w:rsidRPr="00F31A08" w:rsidRDefault="00FF04F4" w:rsidP="00E00057">
            <w:pPr>
              <w:contextualSpacing/>
              <w:rPr>
                <w:rFonts w:cs="Times New Roman"/>
                <w:sz w:val="20"/>
                <w:szCs w:val="20"/>
              </w:rPr>
            </w:pPr>
            <w:r w:rsidRPr="00F31A08">
              <w:rPr>
                <w:rFonts w:cs="Times New Roman"/>
                <w:sz w:val="20"/>
                <w:szCs w:val="20"/>
              </w:rPr>
              <w:t>Referred to CCRP</w:t>
            </w:r>
          </w:p>
        </w:tc>
        <w:tc>
          <w:tcPr>
            <w:tcW w:w="2583" w:type="dxa"/>
          </w:tcPr>
          <w:p w:rsidR="00FF04F4" w:rsidRPr="00F31A08" w:rsidRDefault="00FF04F4" w:rsidP="00922286">
            <w:pPr>
              <w:contextualSpacing/>
              <w:jc w:val="center"/>
              <w:rPr>
                <w:rFonts w:cs="Times New Roman"/>
                <w:sz w:val="20"/>
                <w:szCs w:val="20"/>
              </w:rPr>
            </w:pPr>
            <w:r w:rsidRPr="00F31A08">
              <w:rPr>
                <w:rFonts w:cs="Times New Roman"/>
                <w:sz w:val="20"/>
                <w:szCs w:val="20"/>
              </w:rPr>
              <w:t>0</w:t>
            </w:r>
          </w:p>
        </w:tc>
        <w:tc>
          <w:tcPr>
            <w:tcW w:w="1415" w:type="dxa"/>
          </w:tcPr>
          <w:p w:rsidR="00FF04F4" w:rsidRPr="00F31A08" w:rsidRDefault="00FF04F4" w:rsidP="00922286">
            <w:pPr>
              <w:contextualSpacing/>
              <w:jc w:val="center"/>
              <w:rPr>
                <w:rFonts w:cs="Times New Roman"/>
                <w:sz w:val="20"/>
                <w:szCs w:val="20"/>
              </w:rPr>
            </w:pPr>
            <w:r w:rsidRPr="00F31A08">
              <w:rPr>
                <w:rFonts w:cs="Times New Roman"/>
                <w:sz w:val="20"/>
                <w:szCs w:val="20"/>
              </w:rPr>
              <w:t>0</w:t>
            </w:r>
          </w:p>
        </w:tc>
      </w:tr>
    </w:tbl>
    <w:bookmarkEnd w:id="12"/>
    <w:p w:rsidR="00D479D4" w:rsidRPr="00F31A08" w:rsidRDefault="00922286" w:rsidP="00E00057">
      <w:pPr>
        <w:contextualSpacing/>
        <w:rPr>
          <w:rFonts w:cs="Times New Roman"/>
          <w:sz w:val="20"/>
          <w:szCs w:val="20"/>
        </w:rPr>
      </w:pPr>
      <w:r w:rsidRPr="00F31A08">
        <w:rPr>
          <w:rFonts w:cs="Times New Roman"/>
          <w:sz w:val="20"/>
          <w:szCs w:val="20"/>
        </w:rPr>
        <w:t>* still in the pipeline for transition</w:t>
      </w:r>
    </w:p>
    <w:p w:rsidR="00F31A08" w:rsidRDefault="00F31A08" w:rsidP="00E00057">
      <w:pPr>
        <w:contextualSpacing/>
        <w:rPr>
          <w:rFonts w:cs="Times New Roman"/>
        </w:rPr>
      </w:pPr>
    </w:p>
    <w:p w:rsidR="00D479D4" w:rsidRDefault="00922286" w:rsidP="00922286">
      <w:pPr>
        <w:pStyle w:val="PlainText"/>
        <w:spacing w:line="276" w:lineRule="auto"/>
      </w:pPr>
      <w:r>
        <w:t>During the last six months DMH</w:t>
      </w:r>
      <w:r w:rsidR="00D479D4">
        <w:t xml:space="preserve"> received a total of </w:t>
      </w:r>
      <w:r>
        <w:t>9</w:t>
      </w:r>
      <w:r w:rsidR="00D479D4">
        <w:t xml:space="preserve"> referrals for Occupational Therapy </w:t>
      </w:r>
      <w:r w:rsidR="00F31A08">
        <w:t>a</w:t>
      </w:r>
      <w:r w:rsidR="00D479D4">
        <w:t>ssessments.</w:t>
      </w:r>
      <w:r>
        <w:t xml:space="preserve"> </w:t>
      </w:r>
      <w:r w:rsidR="00D479D4">
        <w:t xml:space="preserve"> The source of these referrals were community agencies seeking assistance with evaluating the potential service needs of </w:t>
      </w:r>
      <w:r>
        <w:t>C</w:t>
      </w:r>
      <w:r w:rsidR="00D479D4">
        <w:t xml:space="preserve">lass </w:t>
      </w:r>
      <w:r>
        <w:t>M</w:t>
      </w:r>
      <w:r w:rsidR="00D479D4">
        <w:t>ember</w:t>
      </w:r>
      <w:r>
        <w:t>s</w:t>
      </w:r>
      <w:r w:rsidR="00F31A08" w:rsidRPr="00F31A08">
        <w:t xml:space="preserve"> </w:t>
      </w:r>
      <w:r w:rsidR="00F31A08">
        <w:t xml:space="preserve">currently assigned for transition </w:t>
      </w:r>
      <w:proofErr w:type="gramStart"/>
      <w:r w:rsidR="00F31A08">
        <w:t>consideration</w:t>
      </w:r>
      <w:r>
        <w:t>, when</w:t>
      </w:r>
      <w:proofErr w:type="gramEnd"/>
      <w:r>
        <w:t xml:space="preserve"> skill deficits have been identified</w:t>
      </w:r>
      <w:r w:rsidR="00D479D4">
        <w:t xml:space="preserve">. The recommendation for the </w:t>
      </w:r>
      <w:r>
        <w:t>eight</w:t>
      </w:r>
      <w:r w:rsidR="00D479D4">
        <w:t xml:space="preserve"> </w:t>
      </w:r>
      <w:r>
        <w:t>completed assessments</w:t>
      </w:r>
      <w:r w:rsidR="00D479D4">
        <w:t xml:space="preserve"> was community transition</w:t>
      </w:r>
      <w:r w:rsidR="001A4095">
        <w:t xml:space="preserve">, with </w:t>
      </w:r>
      <w:r>
        <w:t xml:space="preserve">outcomes </w:t>
      </w:r>
      <w:r w:rsidR="001A4095">
        <w:t>indicating that contin</w:t>
      </w:r>
      <w:r>
        <w:t>ued</w:t>
      </w:r>
      <w:r w:rsidR="00D479D4">
        <w:t xml:space="preserve"> 24-hour level</w:t>
      </w:r>
      <w:r>
        <w:t xml:space="preserve"> of care</w:t>
      </w:r>
      <w:r w:rsidR="001A4095">
        <w:t xml:space="preserve"> was not necessary</w:t>
      </w:r>
      <w:r w:rsidR="00D479D4">
        <w:t xml:space="preserve">. </w:t>
      </w:r>
      <w:r>
        <w:t>CMHCs</w:t>
      </w:r>
      <w:r w:rsidR="00D479D4">
        <w:t xml:space="preserve"> ha</w:t>
      </w:r>
      <w:r>
        <w:t>ve</w:t>
      </w:r>
      <w:r w:rsidR="00D479D4">
        <w:t xml:space="preserve"> </w:t>
      </w:r>
      <w:r w:rsidR="001A4095">
        <w:t xml:space="preserve">received </w:t>
      </w:r>
      <w:r w:rsidR="00D479D4">
        <w:t>the completed assessment</w:t>
      </w:r>
      <w:r>
        <w:t>s</w:t>
      </w:r>
      <w:r w:rsidR="00D479D4">
        <w:t xml:space="preserve"> which contain service/support recommendations in the areas of Transition Support, Community Based Training, Assistance with Money and Medication Management, Work &amp; Education pursuits, Engagement, Mobility, ORS/DOA linkages, Service type (i.e. ACT), In Home Recovery Services (IHRS) Drop</w:t>
      </w:r>
      <w:r w:rsidR="00F12525">
        <w:t>-</w:t>
      </w:r>
      <w:r w:rsidR="00D479D4">
        <w:t xml:space="preserve">In Centers (DIC), Enhanced Skill Training Assistance (ESTA) services and Referral Service </w:t>
      </w:r>
      <w:r w:rsidR="00F12525">
        <w:t>(i.e.</w:t>
      </w:r>
      <w:r>
        <w:t xml:space="preserve">, </w:t>
      </w:r>
      <w:r w:rsidR="00D479D4">
        <w:t>PT, Home Health).</w:t>
      </w:r>
    </w:p>
    <w:p w:rsidR="003F5F89" w:rsidRDefault="003F5F89" w:rsidP="00922286">
      <w:pPr>
        <w:pStyle w:val="PlainText"/>
        <w:spacing w:line="276" w:lineRule="auto"/>
      </w:pPr>
    </w:p>
    <w:p w:rsidR="003F5F89" w:rsidRPr="006870D8" w:rsidRDefault="003F5F89" w:rsidP="00922286">
      <w:pPr>
        <w:pStyle w:val="PlainText"/>
        <w:spacing w:line="276" w:lineRule="auto"/>
        <w:rPr>
          <w:szCs w:val="22"/>
        </w:rPr>
      </w:pPr>
      <w:r w:rsidRPr="006870D8">
        <w:rPr>
          <w:szCs w:val="22"/>
        </w:rPr>
        <w:t>The data below reflects people served by In-Home Recovery and Support Services</w:t>
      </w:r>
    </w:p>
    <w:p w:rsidR="003F5F89" w:rsidRPr="006870D8" w:rsidRDefault="003F5F89" w:rsidP="00922286">
      <w:pPr>
        <w:pStyle w:val="PlainText"/>
        <w:spacing w:line="276" w:lineRule="auto"/>
        <w:rPr>
          <w:szCs w:val="22"/>
        </w:rPr>
      </w:pPr>
    </w:p>
    <w:p w:rsidR="003F5F89" w:rsidRPr="006870D8" w:rsidRDefault="003F5F89" w:rsidP="003F5F89">
      <w:pPr>
        <w:rPr>
          <w:b/>
          <w:i/>
        </w:rPr>
      </w:pPr>
      <w:r w:rsidRPr="006870D8">
        <w:rPr>
          <w:b/>
          <w:i/>
        </w:rPr>
        <w:t>IHRS FY18 (7/1/17-12/31/17)</w:t>
      </w:r>
    </w:p>
    <w:p w:rsidR="003F5F89" w:rsidRPr="006870D8" w:rsidRDefault="003F5F89" w:rsidP="003F5F89">
      <w:pPr>
        <w:pStyle w:val="ListParagraph"/>
        <w:widowControl/>
        <w:numPr>
          <w:ilvl w:val="0"/>
          <w:numId w:val="24"/>
        </w:numPr>
        <w:contextualSpacing/>
        <w:rPr>
          <w:rFonts w:cs="Times New Roman"/>
        </w:rPr>
      </w:pPr>
      <w:r w:rsidRPr="006870D8">
        <w:rPr>
          <w:rFonts w:cs="Times New Roman"/>
        </w:rPr>
        <w:t>1</w:t>
      </w:r>
      <w:r w:rsidRPr="006870D8">
        <w:rPr>
          <w:rFonts w:cs="Times New Roman"/>
          <w:vertAlign w:val="superscript"/>
        </w:rPr>
        <w:t>st</w:t>
      </w:r>
      <w:r w:rsidRPr="006870D8">
        <w:rPr>
          <w:rFonts w:cs="Times New Roman"/>
        </w:rPr>
        <w:t xml:space="preserve"> and 2</w:t>
      </w:r>
      <w:r w:rsidRPr="006870D8">
        <w:rPr>
          <w:rFonts w:cs="Times New Roman"/>
          <w:vertAlign w:val="superscript"/>
        </w:rPr>
        <w:t>nd</w:t>
      </w:r>
      <w:r w:rsidRPr="006870D8">
        <w:rPr>
          <w:rFonts w:cs="Times New Roman"/>
        </w:rPr>
        <w:t xml:space="preserve"> quarters of FY18 (July 1, 2017-December 31, 2017) - total of 35 Class Members</w:t>
      </w:r>
      <w:r w:rsidR="006870D8">
        <w:rPr>
          <w:rFonts w:cs="Times New Roman"/>
        </w:rPr>
        <w:t xml:space="preserve"> were served in IHRS</w:t>
      </w:r>
    </w:p>
    <w:p w:rsidR="003F5F89" w:rsidRPr="006870D8" w:rsidRDefault="003F5F89" w:rsidP="003F5F89">
      <w:pPr>
        <w:pStyle w:val="ListParagraph"/>
        <w:widowControl/>
        <w:numPr>
          <w:ilvl w:val="1"/>
          <w:numId w:val="24"/>
        </w:numPr>
        <w:contextualSpacing/>
        <w:rPr>
          <w:rFonts w:cs="Times New Roman"/>
        </w:rPr>
      </w:pPr>
      <w:r w:rsidRPr="006870D8">
        <w:rPr>
          <w:rFonts w:cs="Times New Roman"/>
        </w:rPr>
        <w:t xml:space="preserve">50 Class Members were referred </w:t>
      </w:r>
    </w:p>
    <w:p w:rsidR="003F5F89" w:rsidRPr="006870D8" w:rsidRDefault="003F5F89" w:rsidP="003F5F89">
      <w:pPr>
        <w:pStyle w:val="ListParagraph"/>
        <w:widowControl/>
        <w:numPr>
          <w:ilvl w:val="1"/>
          <w:numId w:val="24"/>
        </w:numPr>
        <w:contextualSpacing/>
        <w:rPr>
          <w:rFonts w:cs="Times New Roman"/>
        </w:rPr>
      </w:pPr>
      <w:r w:rsidRPr="006870D8">
        <w:rPr>
          <w:rFonts w:cs="Times New Roman"/>
        </w:rPr>
        <w:t xml:space="preserve">15 Class Members did not receive service - either declined or weren’t appropriate </w:t>
      </w:r>
    </w:p>
    <w:p w:rsidR="003F5F89" w:rsidRPr="006870D8" w:rsidRDefault="003F5F89" w:rsidP="003F5F89">
      <w:pPr>
        <w:pStyle w:val="ListParagraph"/>
        <w:widowControl/>
        <w:numPr>
          <w:ilvl w:val="1"/>
          <w:numId w:val="24"/>
        </w:numPr>
        <w:contextualSpacing/>
        <w:rPr>
          <w:rFonts w:cs="Times New Roman"/>
        </w:rPr>
      </w:pPr>
      <w:r w:rsidRPr="006870D8">
        <w:rPr>
          <w:rFonts w:cs="Times New Roman"/>
        </w:rPr>
        <w:t>35 CM serviced out of 50 referred = 70%</w:t>
      </w:r>
    </w:p>
    <w:p w:rsidR="003F5F89" w:rsidRPr="006870D8" w:rsidRDefault="003F5F89" w:rsidP="003F5F89">
      <w:pPr>
        <w:pStyle w:val="ListParagraph"/>
        <w:widowControl/>
        <w:numPr>
          <w:ilvl w:val="0"/>
          <w:numId w:val="24"/>
        </w:numPr>
        <w:contextualSpacing/>
        <w:rPr>
          <w:rFonts w:cs="Times New Roman"/>
        </w:rPr>
      </w:pPr>
      <w:r w:rsidRPr="006870D8">
        <w:rPr>
          <w:rFonts w:cs="Times New Roman"/>
        </w:rPr>
        <w:t>26 of the 35 Class Members began receiving IHRS services while still living in the IMD (74%)</w:t>
      </w:r>
    </w:p>
    <w:p w:rsidR="003F5F89" w:rsidRPr="006870D8" w:rsidRDefault="003F5F89" w:rsidP="003F5F89">
      <w:pPr>
        <w:pStyle w:val="ListParagraph"/>
        <w:widowControl/>
        <w:numPr>
          <w:ilvl w:val="1"/>
          <w:numId w:val="24"/>
        </w:numPr>
        <w:contextualSpacing/>
        <w:rPr>
          <w:rFonts w:cs="Times New Roman"/>
        </w:rPr>
      </w:pPr>
      <w:r w:rsidRPr="006870D8">
        <w:rPr>
          <w:rFonts w:cs="Times New Roman"/>
        </w:rPr>
        <w:t>11 of the 26 moved out during this reporting period (42%)</w:t>
      </w:r>
    </w:p>
    <w:p w:rsidR="003F5F89" w:rsidRPr="006870D8" w:rsidRDefault="003F5F89" w:rsidP="003F5F89">
      <w:pPr>
        <w:pStyle w:val="ListParagraph"/>
        <w:widowControl/>
        <w:numPr>
          <w:ilvl w:val="0"/>
          <w:numId w:val="25"/>
        </w:numPr>
        <w:contextualSpacing/>
        <w:rPr>
          <w:rFonts w:cs="Times New Roman"/>
        </w:rPr>
      </w:pPr>
      <w:r w:rsidRPr="006870D8">
        <w:rPr>
          <w:rFonts w:cs="Times New Roman"/>
        </w:rPr>
        <w:t>9 of the 35 Class Members served had already transitioned to the community when NAMI Chicago received the referral (26%)</w:t>
      </w:r>
    </w:p>
    <w:p w:rsidR="003F5F89" w:rsidRPr="006870D8" w:rsidRDefault="003F5F89" w:rsidP="003F5F89">
      <w:pPr>
        <w:pStyle w:val="ListParagraph"/>
        <w:widowControl/>
        <w:numPr>
          <w:ilvl w:val="0"/>
          <w:numId w:val="25"/>
        </w:numPr>
        <w:contextualSpacing/>
        <w:rPr>
          <w:rFonts w:cs="Times New Roman"/>
        </w:rPr>
      </w:pPr>
      <w:r w:rsidRPr="006870D8">
        <w:rPr>
          <w:rFonts w:cs="Times New Roman"/>
        </w:rPr>
        <w:t>NAMI provided 720 hours of support for the consenting Class Members</w:t>
      </w:r>
    </w:p>
    <w:p w:rsidR="003F5F89" w:rsidRPr="006870D8" w:rsidRDefault="003F5F89" w:rsidP="003F5F89">
      <w:pPr>
        <w:pStyle w:val="ListParagraph"/>
        <w:numPr>
          <w:ilvl w:val="0"/>
          <w:numId w:val="25"/>
        </w:numPr>
        <w:contextualSpacing/>
        <w:rPr>
          <w:rFonts w:cs="Times New Roman"/>
        </w:rPr>
      </w:pPr>
      <w:r w:rsidRPr="006870D8">
        <w:rPr>
          <w:rFonts w:cs="Times New Roman"/>
        </w:rPr>
        <w:t>455 service hours out of 720 hours (63%) were provided in the natural setting despite some of the Class Members still residing in an IMD</w:t>
      </w:r>
    </w:p>
    <w:p w:rsidR="003F5F89" w:rsidRPr="006870D8" w:rsidRDefault="003F5F89" w:rsidP="003F5F89">
      <w:pPr>
        <w:rPr>
          <w:rFonts w:cs="Times New Roman"/>
        </w:rPr>
      </w:pPr>
    </w:p>
    <w:p w:rsidR="003F5F89" w:rsidRPr="006870D8" w:rsidRDefault="003F5F89" w:rsidP="003F5F89">
      <w:pPr>
        <w:rPr>
          <w:rFonts w:cs="Times New Roman"/>
          <w:b/>
          <w:i/>
        </w:rPr>
      </w:pPr>
      <w:r w:rsidRPr="006870D8">
        <w:rPr>
          <w:rFonts w:cs="Times New Roman"/>
          <w:b/>
          <w:i/>
        </w:rPr>
        <w:t>IHRS FY18 (1/1/18-6/30/18)</w:t>
      </w:r>
    </w:p>
    <w:p w:rsidR="003F5F89" w:rsidRPr="006870D8" w:rsidRDefault="003F5F89" w:rsidP="003F5F89">
      <w:pPr>
        <w:pStyle w:val="ListParagraph"/>
        <w:widowControl/>
        <w:numPr>
          <w:ilvl w:val="0"/>
          <w:numId w:val="26"/>
        </w:numPr>
        <w:contextualSpacing/>
        <w:rPr>
          <w:rFonts w:cs="Times New Roman"/>
        </w:rPr>
      </w:pPr>
      <w:r w:rsidRPr="006870D8">
        <w:rPr>
          <w:rFonts w:cs="Times New Roman"/>
        </w:rPr>
        <w:t>During the 3</w:t>
      </w:r>
      <w:r w:rsidRPr="006870D8">
        <w:rPr>
          <w:rFonts w:cs="Times New Roman"/>
          <w:vertAlign w:val="superscript"/>
        </w:rPr>
        <w:t>rd</w:t>
      </w:r>
      <w:r w:rsidRPr="006870D8">
        <w:rPr>
          <w:rFonts w:cs="Times New Roman"/>
        </w:rPr>
        <w:t xml:space="preserve"> and 4</w:t>
      </w:r>
      <w:r w:rsidRPr="006870D8">
        <w:rPr>
          <w:rFonts w:cs="Times New Roman"/>
          <w:vertAlign w:val="superscript"/>
        </w:rPr>
        <w:t>th</w:t>
      </w:r>
      <w:r w:rsidRPr="006870D8">
        <w:rPr>
          <w:rFonts w:cs="Times New Roman"/>
        </w:rPr>
        <w:t xml:space="preserve"> quarters </w:t>
      </w:r>
      <w:r w:rsidR="006870D8">
        <w:rPr>
          <w:rFonts w:cs="Times New Roman"/>
        </w:rPr>
        <w:t xml:space="preserve">(January 1, 2018 – June 30, 2018) </w:t>
      </w:r>
      <w:r w:rsidRPr="006870D8">
        <w:rPr>
          <w:rFonts w:cs="Times New Roman"/>
        </w:rPr>
        <w:t>of FY18 a total of 33 Class Members (CMs)</w:t>
      </w:r>
      <w:r w:rsidR="006870D8">
        <w:rPr>
          <w:rFonts w:cs="Times New Roman"/>
        </w:rPr>
        <w:t xml:space="preserve"> were served in IHRS</w:t>
      </w:r>
    </w:p>
    <w:p w:rsidR="003F5F89" w:rsidRPr="006870D8" w:rsidRDefault="003F5F89" w:rsidP="003F5F89">
      <w:pPr>
        <w:pStyle w:val="ListParagraph"/>
        <w:widowControl/>
        <w:numPr>
          <w:ilvl w:val="1"/>
          <w:numId w:val="26"/>
        </w:numPr>
        <w:contextualSpacing/>
        <w:rPr>
          <w:rFonts w:cs="Times New Roman"/>
        </w:rPr>
      </w:pPr>
      <w:r w:rsidRPr="006870D8">
        <w:rPr>
          <w:rFonts w:cs="Times New Roman"/>
        </w:rPr>
        <w:t xml:space="preserve">38 Class Members were referred </w:t>
      </w:r>
    </w:p>
    <w:p w:rsidR="003F5F89" w:rsidRPr="006870D8" w:rsidRDefault="003F5F89" w:rsidP="003F5F89">
      <w:pPr>
        <w:pStyle w:val="ListParagraph"/>
        <w:widowControl/>
        <w:numPr>
          <w:ilvl w:val="1"/>
          <w:numId w:val="26"/>
        </w:numPr>
        <w:contextualSpacing/>
        <w:rPr>
          <w:rFonts w:cs="Times New Roman"/>
        </w:rPr>
      </w:pPr>
      <w:r w:rsidRPr="006870D8">
        <w:rPr>
          <w:rFonts w:cs="Times New Roman"/>
        </w:rPr>
        <w:t>5 Class Members did</w:t>
      </w:r>
      <w:r w:rsidR="006870D8">
        <w:rPr>
          <w:rFonts w:cs="Times New Roman"/>
        </w:rPr>
        <w:t xml:space="preserve"> </w:t>
      </w:r>
      <w:r w:rsidRPr="006870D8">
        <w:rPr>
          <w:rFonts w:cs="Times New Roman"/>
        </w:rPr>
        <w:t>n</w:t>
      </w:r>
      <w:r w:rsidR="006870D8">
        <w:rPr>
          <w:rFonts w:cs="Times New Roman"/>
        </w:rPr>
        <w:t>ot</w:t>
      </w:r>
      <w:r w:rsidRPr="006870D8">
        <w:rPr>
          <w:rFonts w:cs="Times New Roman"/>
        </w:rPr>
        <w:t xml:space="preserve"> receive services </w:t>
      </w:r>
      <w:r w:rsidR="006870D8">
        <w:rPr>
          <w:rFonts w:cs="Times New Roman"/>
        </w:rPr>
        <w:t xml:space="preserve">- </w:t>
      </w:r>
      <w:r w:rsidRPr="006870D8">
        <w:rPr>
          <w:rFonts w:cs="Times New Roman"/>
        </w:rPr>
        <w:t xml:space="preserve">either declined or weren’t appropriate. </w:t>
      </w:r>
    </w:p>
    <w:p w:rsidR="003F5F89" w:rsidRPr="006870D8" w:rsidRDefault="003F5F89" w:rsidP="003F5F89">
      <w:pPr>
        <w:pStyle w:val="ListParagraph"/>
        <w:widowControl/>
        <w:numPr>
          <w:ilvl w:val="1"/>
          <w:numId w:val="26"/>
        </w:numPr>
        <w:contextualSpacing/>
        <w:rPr>
          <w:rFonts w:cs="Times New Roman"/>
        </w:rPr>
      </w:pPr>
      <w:r w:rsidRPr="006870D8">
        <w:rPr>
          <w:rFonts w:cs="Times New Roman"/>
        </w:rPr>
        <w:t>33 C</w:t>
      </w:r>
      <w:r w:rsidR="006870D8">
        <w:rPr>
          <w:rFonts w:cs="Times New Roman"/>
        </w:rPr>
        <w:t>lass Members</w:t>
      </w:r>
      <w:r w:rsidRPr="006870D8">
        <w:rPr>
          <w:rFonts w:cs="Times New Roman"/>
        </w:rPr>
        <w:t xml:space="preserve"> out of 38 referred</w:t>
      </w:r>
      <w:r w:rsidR="006870D8">
        <w:rPr>
          <w:rFonts w:cs="Times New Roman"/>
        </w:rPr>
        <w:t xml:space="preserve"> </w:t>
      </w:r>
      <w:r w:rsidRPr="006870D8">
        <w:rPr>
          <w:rFonts w:cs="Times New Roman"/>
        </w:rPr>
        <w:t>= 87%</w:t>
      </w:r>
    </w:p>
    <w:p w:rsidR="003F5F89" w:rsidRPr="006870D8" w:rsidRDefault="003F5F89" w:rsidP="003F5F89">
      <w:pPr>
        <w:pStyle w:val="ListParagraph"/>
        <w:widowControl/>
        <w:numPr>
          <w:ilvl w:val="0"/>
          <w:numId w:val="26"/>
        </w:numPr>
        <w:contextualSpacing/>
        <w:rPr>
          <w:rFonts w:cs="Times New Roman"/>
        </w:rPr>
      </w:pPr>
      <w:r w:rsidRPr="006870D8">
        <w:rPr>
          <w:rFonts w:cs="Times New Roman"/>
        </w:rPr>
        <w:t xml:space="preserve">1,211 hours of support </w:t>
      </w:r>
      <w:r w:rsidR="006870D8">
        <w:rPr>
          <w:rFonts w:cs="Times New Roman"/>
        </w:rPr>
        <w:t>was provided to</w:t>
      </w:r>
      <w:r w:rsidRPr="006870D8">
        <w:rPr>
          <w:rFonts w:cs="Times New Roman"/>
        </w:rPr>
        <w:t xml:space="preserve"> consenting Class Members.</w:t>
      </w:r>
    </w:p>
    <w:p w:rsidR="003F5F89" w:rsidRPr="006870D8" w:rsidRDefault="003F5F89" w:rsidP="003F5F89">
      <w:pPr>
        <w:pStyle w:val="ListParagraph"/>
        <w:widowControl/>
        <w:numPr>
          <w:ilvl w:val="1"/>
          <w:numId w:val="26"/>
        </w:numPr>
        <w:contextualSpacing/>
        <w:rPr>
          <w:rFonts w:cs="Times New Roman"/>
        </w:rPr>
      </w:pPr>
      <w:r w:rsidRPr="006870D8">
        <w:rPr>
          <w:rFonts w:cs="Times New Roman"/>
        </w:rPr>
        <w:t>930</w:t>
      </w:r>
      <w:r w:rsidR="006870D8">
        <w:rPr>
          <w:rFonts w:cs="Times New Roman"/>
        </w:rPr>
        <w:t xml:space="preserve"> service</w:t>
      </w:r>
      <w:r w:rsidRPr="006870D8">
        <w:rPr>
          <w:rFonts w:cs="Times New Roman"/>
        </w:rPr>
        <w:t xml:space="preserve"> </w:t>
      </w:r>
      <w:r w:rsidR="006870D8">
        <w:rPr>
          <w:rFonts w:cs="Times New Roman"/>
        </w:rPr>
        <w:t xml:space="preserve">hours </w:t>
      </w:r>
      <w:r w:rsidRPr="006870D8">
        <w:rPr>
          <w:rFonts w:cs="Times New Roman"/>
        </w:rPr>
        <w:t>out of 1,211 hours (77%) were provided in a natural setting outside of the SMHRF</w:t>
      </w:r>
    </w:p>
    <w:p w:rsidR="003F5F89" w:rsidRPr="006870D8" w:rsidRDefault="003F5F89" w:rsidP="003F5F89">
      <w:pPr>
        <w:pStyle w:val="ListParagraph"/>
        <w:widowControl/>
        <w:numPr>
          <w:ilvl w:val="0"/>
          <w:numId w:val="27"/>
        </w:numPr>
        <w:contextualSpacing/>
        <w:rPr>
          <w:rFonts w:cs="Times New Roman"/>
        </w:rPr>
      </w:pPr>
      <w:r w:rsidRPr="006870D8">
        <w:rPr>
          <w:rFonts w:cs="Times New Roman"/>
        </w:rPr>
        <w:t>Since the program started in August of 2017 a total of 18 Class Members have completed the 6-month program in its entirety</w:t>
      </w:r>
    </w:p>
    <w:p w:rsidR="003F5F89" w:rsidRPr="006870D8" w:rsidRDefault="003F5F89" w:rsidP="003F5F89">
      <w:pPr>
        <w:pStyle w:val="ListParagraph"/>
        <w:widowControl/>
        <w:numPr>
          <w:ilvl w:val="0"/>
          <w:numId w:val="27"/>
        </w:numPr>
        <w:contextualSpacing/>
        <w:rPr>
          <w:rFonts w:cs="Times New Roman"/>
        </w:rPr>
      </w:pPr>
      <w:r w:rsidRPr="006870D8">
        <w:rPr>
          <w:rFonts w:cs="Times New Roman"/>
        </w:rPr>
        <w:t>Since inception 88 members have been referred</w:t>
      </w:r>
    </w:p>
    <w:p w:rsidR="003F5F89" w:rsidRPr="006870D8" w:rsidRDefault="003F5F89" w:rsidP="003F5F89">
      <w:pPr>
        <w:pStyle w:val="ListParagraph"/>
        <w:widowControl/>
        <w:numPr>
          <w:ilvl w:val="0"/>
          <w:numId w:val="27"/>
        </w:numPr>
        <w:contextualSpacing/>
        <w:rPr>
          <w:rFonts w:cs="Times New Roman"/>
        </w:rPr>
      </w:pPr>
      <w:r w:rsidRPr="006870D8">
        <w:rPr>
          <w:rFonts w:cs="Times New Roman"/>
        </w:rPr>
        <w:t>68 out of 88 Class Members (77%) have received IHRS services in some capacity</w:t>
      </w:r>
    </w:p>
    <w:p w:rsidR="003F5F89" w:rsidRPr="006870D8" w:rsidRDefault="003F5F89" w:rsidP="00922286">
      <w:pPr>
        <w:pStyle w:val="PlainText"/>
        <w:spacing w:line="276" w:lineRule="auto"/>
        <w:rPr>
          <w:szCs w:val="22"/>
        </w:rPr>
      </w:pPr>
    </w:p>
    <w:p w:rsidR="00D479D4" w:rsidRDefault="00922286" w:rsidP="00922286">
      <w:pPr>
        <w:pStyle w:val="PlainText"/>
        <w:spacing w:line="276" w:lineRule="auto"/>
      </w:pPr>
      <w:r>
        <w:t>T</w:t>
      </w:r>
      <w:r w:rsidR="00D479D4">
        <w:t xml:space="preserve">here was a noted increase in the number of referrals received for OT </w:t>
      </w:r>
      <w:r w:rsidR="00F31A08">
        <w:t>a</w:t>
      </w:r>
      <w:r w:rsidR="00D479D4">
        <w:t>ssessment</w:t>
      </w:r>
      <w:r>
        <w:t>s</w:t>
      </w:r>
      <w:r w:rsidR="00D479D4">
        <w:t xml:space="preserve"> in the second half of the year. This increase can be attributed to the collaborative efforts of DMH and the </w:t>
      </w:r>
      <w:r w:rsidR="00F31A08">
        <w:t xml:space="preserve">UIC College </w:t>
      </w:r>
      <w:r w:rsidR="00D479D4">
        <w:t xml:space="preserve">of Occupational Therapy </w:t>
      </w:r>
      <w:r>
        <w:t>to</w:t>
      </w:r>
      <w:r w:rsidR="00D479D4">
        <w:t xml:space="preserve"> identify factors that could be associated with the underutilization of OT </w:t>
      </w:r>
      <w:r w:rsidR="001A4095">
        <w:t>assessment resources</w:t>
      </w:r>
      <w:r w:rsidR="00D479D4">
        <w:t xml:space="preserve">. The biggest factor </w:t>
      </w:r>
      <w:r>
        <w:t xml:space="preserve">identified was </w:t>
      </w:r>
      <w:r w:rsidR="00D479D4">
        <w:t xml:space="preserve">the need for </w:t>
      </w:r>
      <w:r w:rsidR="001A4095">
        <w:t xml:space="preserve">further training on the benefits of an OT assessment and </w:t>
      </w:r>
      <w:r w:rsidR="00D479D4">
        <w:t xml:space="preserve">the supports and services that could be offered through </w:t>
      </w:r>
      <w:r>
        <w:t>an a</w:t>
      </w:r>
      <w:r w:rsidR="00D479D4">
        <w:t xml:space="preserve">ssessment. </w:t>
      </w:r>
      <w:r>
        <w:t xml:space="preserve"> </w:t>
      </w:r>
      <w:r w:rsidR="00D479D4">
        <w:t xml:space="preserve">To address the need for further </w:t>
      </w:r>
      <w:r w:rsidR="001A4095">
        <w:t xml:space="preserve">training, </w:t>
      </w:r>
      <w:r w:rsidR="00F31A08">
        <w:t xml:space="preserve">a Webinar </w:t>
      </w:r>
      <w:r w:rsidR="00D479D4">
        <w:t xml:space="preserve">was conducted </w:t>
      </w:r>
      <w:r w:rsidR="001A4095">
        <w:t xml:space="preserve">in early </w:t>
      </w:r>
      <w:r w:rsidR="00D479D4">
        <w:t xml:space="preserve">May </w:t>
      </w:r>
      <w:r w:rsidR="001A4095">
        <w:t>2018</w:t>
      </w:r>
      <w:r w:rsidR="00D479D4">
        <w:t xml:space="preserve"> by DMH in conjunction with </w:t>
      </w:r>
      <w:r w:rsidR="00F31A08">
        <w:t>t</w:t>
      </w:r>
      <w:r w:rsidR="00D479D4">
        <w:t xml:space="preserve">he </w:t>
      </w:r>
      <w:r w:rsidR="00F31A08">
        <w:t>College</w:t>
      </w:r>
      <w:r w:rsidR="00D479D4">
        <w:t xml:space="preserve"> of Occupational Therapy. </w:t>
      </w:r>
      <w:r w:rsidR="001A4095">
        <w:t xml:space="preserve">  </w:t>
      </w:r>
      <w:r w:rsidR="00D479D4">
        <w:t xml:space="preserve">The focus of training centered </w:t>
      </w:r>
      <w:r w:rsidR="001A4095">
        <w:t>on</w:t>
      </w:r>
      <w:r w:rsidR="00D479D4">
        <w:t xml:space="preserve"> how Occupational Therapy support c</w:t>
      </w:r>
      <w:r w:rsidR="001A4095">
        <w:t>an</w:t>
      </w:r>
      <w:r w:rsidR="00D479D4">
        <w:t xml:space="preserve"> be used as a tool to further assess transition </w:t>
      </w:r>
      <w:r w:rsidR="001A4095">
        <w:t xml:space="preserve">needs or barriers </w:t>
      </w:r>
      <w:r w:rsidR="00D479D4">
        <w:t xml:space="preserve">by identifying services and supports that could be used in community settings to meet specified needs. </w:t>
      </w:r>
    </w:p>
    <w:p w:rsidR="00D479D4" w:rsidRDefault="00D479D4" w:rsidP="00D479D4">
      <w:pPr>
        <w:pStyle w:val="PlainText"/>
      </w:pPr>
    </w:p>
    <w:p w:rsidR="00D479D4" w:rsidRDefault="001A4095" w:rsidP="00E00057">
      <w:pPr>
        <w:contextualSpacing/>
        <w:rPr>
          <w:rFonts w:cs="Times New Roman"/>
        </w:rPr>
      </w:pPr>
      <w:r>
        <w:rPr>
          <w:rFonts w:cs="Times New Roman"/>
        </w:rPr>
        <w:t>Neuropsychological Assessment</w:t>
      </w:r>
      <w:r w:rsidR="00F31A08">
        <w:rPr>
          <w:rFonts w:cs="Times New Roman"/>
        </w:rPr>
        <w:t>:    N=42</w:t>
      </w:r>
    </w:p>
    <w:p w:rsidR="00D479D4" w:rsidRDefault="00D479D4" w:rsidP="00E00057">
      <w:pPr>
        <w:contextualSpacing/>
        <w:rPr>
          <w:rFonts w:cs="Times New Roman"/>
        </w:rPr>
      </w:pPr>
    </w:p>
    <w:tbl>
      <w:tblPr>
        <w:tblStyle w:val="TableGrid"/>
        <w:tblW w:w="0" w:type="auto"/>
        <w:tblInd w:w="1975" w:type="dxa"/>
        <w:tblLook w:val="04A0" w:firstRow="1" w:lastRow="0" w:firstColumn="1" w:lastColumn="0" w:noHBand="0" w:noVBand="1"/>
      </w:tblPr>
      <w:tblGrid>
        <w:gridCol w:w="3060"/>
        <w:gridCol w:w="2790"/>
        <w:gridCol w:w="1530"/>
      </w:tblGrid>
      <w:tr w:rsidR="00FF04F4" w:rsidTr="00C92248">
        <w:trPr>
          <w:tblHeader/>
        </w:trPr>
        <w:tc>
          <w:tcPr>
            <w:tcW w:w="3060" w:type="dxa"/>
            <w:shd w:val="clear" w:color="auto" w:fill="DDD9C3" w:themeFill="background2" w:themeFillShade="E6"/>
          </w:tcPr>
          <w:p w:rsidR="00FF04F4" w:rsidRDefault="00FF04F4" w:rsidP="001A4095">
            <w:pPr>
              <w:contextualSpacing/>
              <w:jc w:val="center"/>
              <w:rPr>
                <w:rFonts w:cs="Times New Roman"/>
              </w:rPr>
            </w:pPr>
            <w:r>
              <w:rPr>
                <w:rFonts w:cs="Times New Roman"/>
              </w:rPr>
              <w:t>Action</w:t>
            </w:r>
          </w:p>
        </w:tc>
        <w:tc>
          <w:tcPr>
            <w:tcW w:w="2790" w:type="dxa"/>
            <w:shd w:val="clear" w:color="auto" w:fill="DDD9C3" w:themeFill="background2" w:themeFillShade="E6"/>
          </w:tcPr>
          <w:p w:rsidR="00FF04F4" w:rsidRDefault="00FF04F4" w:rsidP="001A4095">
            <w:pPr>
              <w:contextualSpacing/>
              <w:jc w:val="center"/>
              <w:rPr>
                <w:rFonts w:cs="Times New Roman"/>
              </w:rPr>
            </w:pPr>
            <w:r>
              <w:rPr>
                <w:rFonts w:cs="Times New Roman"/>
              </w:rPr>
              <w:t>Total</w:t>
            </w:r>
          </w:p>
        </w:tc>
        <w:tc>
          <w:tcPr>
            <w:tcW w:w="1530" w:type="dxa"/>
            <w:shd w:val="clear" w:color="auto" w:fill="DDD9C3" w:themeFill="background2" w:themeFillShade="E6"/>
          </w:tcPr>
          <w:p w:rsidR="00FF04F4" w:rsidRDefault="00FF04F4" w:rsidP="001A4095">
            <w:pPr>
              <w:contextualSpacing/>
              <w:jc w:val="center"/>
              <w:rPr>
                <w:rFonts w:cs="Times New Roman"/>
              </w:rPr>
            </w:pPr>
            <w:r>
              <w:rPr>
                <w:rFonts w:cs="Times New Roman"/>
              </w:rPr>
              <w:t>Percentage</w:t>
            </w:r>
          </w:p>
        </w:tc>
      </w:tr>
      <w:tr w:rsidR="00FF04F4" w:rsidTr="00FF04F4">
        <w:tc>
          <w:tcPr>
            <w:tcW w:w="3060" w:type="dxa"/>
          </w:tcPr>
          <w:p w:rsidR="00FF04F4" w:rsidRDefault="00553A33" w:rsidP="001A4095">
            <w:pPr>
              <w:contextualSpacing/>
              <w:rPr>
                <w:rFonts w:cs="Times New Roman"/>
              </w:rPr>
            </w:pPr>
            <w:r>
              <w:t>Total r</w:t>
            </w:r>
            <w:r w:rsidR="00FF04F4">
              <w:t xml:space="preserve">eferred for assessment </w:t>
            </w:r>
          </w:p>
        </w:tc>
        <w:tc>
          <w:tcPr>
            <w:tcW w:w="2790" w:type="dxa"/>
          </w:tcPr>
          <w:p w:rsidR="00FF04F4" w:rsidRDefault="00FF04F4" w:rsidP="001A4095">
            <w:pPr>
              <w:contextualSpacing/>
              <w:jc w:val="center"/>
              <w:rPr>
                <w:rFonts w:cs="Times New Roman"/>
              </w:rPr>
            </w:pPr>
            <w:r>
              <w:rPr>
                <w:rFonts w:cs="Times New Roman"/>
              </w:rPr>
              <w:t>42</w:t>
            </w:r>
          </w:p>
        </w:tc>
        <w:tc>
          <w:tcPr>
            <w:tcW w:w="1530" w:type="dxa"/>
          </w:tcPr>
          <w:p w:rsidR="00FF04F4" w:rsidRDefault="00FF04F4" w:rsidP="001A4095">
            <w:pPr>
              <w:contextualSpacing/>
              <w:jc w:val="center"/>
              <w:rPr>
                <w:rFonts w:cs="Times New Roman"/>
              </w:rPr>
            </w:pPr>
          </w:p>
        </w:tc>
      </w:tr>
      <w:tr w:rsidR="00FF04F4" w:rsidTr="00FF04F4">
        <w:tc>
          <w:tcPr>
            <w:tcW w:w="3060" w:type="dxa"/>
          </w:tcPr>
          <w:p w:rsidR="00FF04F4" w:rsidRPr="00553A33" w:rsidRDefault="00FF04F4" w:rsidP="001A4095">
            <w:pPr>
              <w:contextualSpacing/>
              <w:rPr>
                <w:rFonts w:cs="Times New Roman"/>
                <w:b/>
              </w:rPr>
            </w:pPr>
            <w:r w:rsidRPr="00553A33">
              <w:rPr>
                <w:rFonts w:cs="Times New Roman"/>
                <w:b/>
              </w:rPr>
              <w:t xml:space="preserve">Referral </w:t>
            </w:r>
            <w:r w:rsidR="00553A33" w:rsidRPr="00553A33">
              <w:rPr>
                <w:rFonts w:cs="Times New Roman"/>
                <w:b/>
              </w:rPr>
              <w:t xml:space="preserve">evaluations </w:t>
            </w:r>
            <w:r w:rsidRPr="00553A33">
              <w:rPr>
                <w:rFonts w:cs="Times New Roman"/>
                <w:b/>
              </w:rPr>
              <w:t>completed</w:t>
            </w:r>
          </w:p>
        </w:tc>
        <w:tc>
          <w:tcPr>
            <w:tcW w:w="2790" w:type="dxa"/>
          </w:tcPr>
          <w:p w:rsidR="00FF04F4" w:rsidRPr="00553A33" w:rsidRDefault="00FF04F4" w:rsidP="001A4095">
            <w:pPr>
              <w:contextualSpacing/>
              <w:jc w:val="center"/>
              <w:rPr>
                <w:rFonts w:cs="Times New Roman"/>
                <w:b/>
              </w:rPr>
            </w:pPr>
            <w:r w:rsidRPr="00553A33">
              <w:rPr>
                <w:rFonts w:cs="Times New Roman"/>
                <w:b/>
              </w:rPr>
              <w:t>28</w:t>
            </w:r>
          </w:p>
        </w:tc>
        <w:tc>
          <w:tcPr>
            <w:tcW w:w="1530" w:type="dxa"/>
          </w:tcPr>
          <w:p w:rsidR="00FF04F4" w:rsidRDefault="00553A33" w:rsidP="001A4095">
            <w:pPr>
              <w:contextualSpacing/>
              <w:jc w:val="center"/>
              <w:rPr>
                <w:rFonts w:cs="Times New Roman"/>
              </w:rPr>
            </w:pPr>
            <w:r>
              <w:rPr>
                <w:rFonts w:cs="Times New Roman"/>
              </w:rPr>
              <w:t>67%</w:t>
            </w:r>
          </w:p>
        </w:tc>
      </w:tr>
      <w:tr w:rsidR="001F04D1" w:rsidTr="001F04D1">
        <w:tc>
          <w:tcPr>
            <w:tcW w:w="3060" w:type="dxa"/>
            <w:tcBorders>
              <w:bottom w:val="double" w:sz="4" w:space="0" w:color="auto"/>
            </w:tcBorders>
          </w:tcPr>
          <w:p w:rsidR="001F04D1" w:rsidRPr="001F04D1" w:rsidRDefault="001F04D1" w:rsidP="001A4095">
            <w:pPr>
              <w:contextualSpacing/>
              <w:rPr>
                <w:rFonts w:cs="Times New Roman"/>
              </w:rPr>
            </w:pPr>
            <w:r w:rsidRPr="001F04D1">
              <w:rPr>
                <w:rFonts w:cs="Times New Roman"/>
              </w:rPr>
              <w:t>Referral</w:t>
            </w:r>
            <w:r>
              <w:rPr>
                <w:rFonts w:cs="Times New Roman"/>
              </w:rPr>
              <w:t xml:space="preserve"> -</w:t>
            </w:r>
            <w:r w:rsidRPr="001F04D1">
              <w:rPr>
                <w:rFonts w:cs="Times New Roman"/>
              </w:rPr>
              <w:t xml:space="preserve"> </w:t>
            </w:r>
            <w:r>
              <w:rPr>
                <w:rFonts w:cs="Times New Roman"/>
              </w:rPr>
              <w:t xml:space="preserve">assessment </w:t>
            </w:r>
            <w:r w:rsidRPr="001F04D1">
              <w:rPr>
                <w:rFonts w:cs="Times New Roman"/>
              </w:rPr>
              <w:t>not co</w:t>
            </w:r>
            <w:r>
              <w:rPr>
                <w:rFonts w:cs="Times New Roman"/>
              </w:rPr>
              <w:t xml:space="preserve">nducted </w:t>
            </w:r>
            <w:r w:rsidRPr="001F04D1">
              <w:rPr>
                <w:rFonts w:cs="Times New Roman"/>
                <w:i/>
              </w:rPr>
              <w:t>(varying reasons)</w:t>
            </w:r>
          </w:p>
        </w:tc>
        <w:tc>
          <w:tcPr>
            <w:tcW w:w="2790" w:type="dxa"/>
            <w:tcBorders>
              <w:bottom w:val="double" w:sz="4" w:space="0" w:color="auto"/>
            </w:tcBorders>
          </w:tcPr>
          <w:p w:rsidR="001F04D1" w:rsidRPr="001F04D1" w:rsidRDefault="001F04D1" w:rsidP="001A4095">
            <w:pPr>
              <w:contextualSpacing/>
              <w:jc w:val="center"/>
              <w:rPr>
                <w:rFonts w:cs="Times New Roman"/>
              </w:rPr>
            </w:pPr>
            <w:r w:rsidRPr="001F04D1">
              <w:rPr>
                <w:rFonts w:cs="Times New Roman"/>
              </w:rPr>
              <w:t>14</w:t>
            </w:r>
          </w:p>
        </w:tc>
        <w:tc>
          <w:tcPr>
            <w:tcW w:w="1530" w:type="dxa"/>
            <w:tcBorders>
              <w:bottom w:val="double" w:sz="4" w:space="0" w:color="auto"/>
            </w:tcBorders>
          </w:tcPr>
          <w:p w:rsidR="001F04D1" w:rsidRDefault="001F04D1" w:rsidP="001A4095">
            <w:pPr>
              <w:contextualSpacing/>
              <w:jc w:val="center"/>
              <w:rPr>
                <w:rFonts w:cs="Times New Roman"/>
              </w:rPr>
            </w:pPr>
            <w:r>
              <w:rPr>
                <w:rFonts w:cs="Times New Roman"/>
              </w:rPr>
              <w:t>33%</w:t>
            </w:r>
          </w:p>
        </w:tc>
      </w:tr>
      <w:tr w:rsidR="00FF04F4" w:rsidTr="001F04D1">
        <w:tc>
          <w:tcPr>
            <w:tcW w:w="3060" w:type="dxa"/>
            <w:tcBorders>
              <w:top w:val="double" w:sz="4" w:space="0" w:color="auto"/>
            </w:tcBorders>
          </w:tcPr>
          <w:p w:rsidR="00FF04F4" w:rsidRDefault="00FF04F4" w:rsidP="001A4095">
            <w:pPr>
              <w:contextualSpacing/>
              <w:rPr>
                <w:rFonts w:cs="Times New Roman"/>
              </w:rPr>
            </w:pPr>
            <w:r>
              <w:rPr>
                <w:rFonts w:cs="Times New Roman"/>
              </w:rPr>
              <w:t>Referrals recommended for transition</w:t>
            </w:r>
          </w:p>
        </w:tc>
        <w:tc>
          <w:tcPr>
            <w:tcW w:w="2790" w:type="dxa"/>
            <w:tcBorders>
              <w:top w:val="double" w:sz="4" w:space="0" w:color="auto"/>
            </w:tcBorders>
          </w:tcPr>
          <w:p w:rsidR="00FF04F4" w:rsidRDefault="00FF04F4" w:rsidP="001A4095">
            <w:pPr>
              <w:contextualSpacing/>
              <w:jc w:val="center"/>
              <w:rPr>
                <w:rFonts w:cs="Times New Roman"/>
              </w:rPr>
            </w:pPr>
            <w:r>
              <w:rPr>
                <w:rFonts w:cs="Times New Roman"/>
              </w:rPr>
              <w:t>8</w:t>
            </w:r>
          </w:p>
        </w:tc>
        <w:tc>
          <w:tcPr>
            <w:tcW w:w="1530" w:type="dxa"/>
            <w:tcBorders>
              <w:top w:val="double" w:sz="4" w:space="0" w:color="auto"/>
            </w:tcBorders>
          </w:tcPr>
          <w:p w:rsidR="00FF04F4" w:rsidRDefault="00553A33" w:rsidP="001A4095">
            <w:pPr>
              <w:contextualSpacing/>
              <w:jc w:val="center"/>
              <w:rPr>
                <w:rFonts w:cs="Times New Roman"/>
              </w:rPr>
            </w:pPr>
            <w:r>
              <w:rPr>
                <w:rFonts w:cs="Times New Roman"/>
              </w:rPr>
              <w:t>29%</w:t>
            </w:r>
          </w:p>
        </w:tc>
      </w:tr>
      <w:tr w:rsidR="00FF04F4" w:rsidTr="00FF04F4">
        <w:tc>
          <w:tcPr>
            <w:tcW w:w="3060" w:type="dxa"/>
          </w:tcPr>
          <w:p w:rsidR="00FF04F4" w:rsidRDefault="00FF04F4" w:rsidP="001A4095">
            <w:pPr>
              <w:contextualSpacing/>
              <w:rPr>
                <w:rFonts w:cs="Times New Roman"/>
              </w:rPr>
            </w:pPr>
            <w:r>
              <w:rPr>
                <w:rFonts w:cs="Times New Roman"/>
              </w:rPr>
              <w:t>Referrals not recommended for transition</w:t>
            </w:r>
          </w:p>
        </w:tc>
        <w:tc>
          <w:tcPr>
            <w:tcW w:w="2790" w:type="dxa"/>
          </w:tcPr>
          <w:p w:rsidR="00FF04F4" w:rsidRDefault="00FF04F4" w:rsidP="001A4095">
            <w:pPr>
              <w:contextualSpacing/>
              <w:jc w:val="center"/>
              <w:rPr>
                <w:rFonts w:cs="Times New Roman"/>
              </w:rPr>
            </w:pPr>
            <w:r>
              <w:rPr>
                <w:rFonts w:cs="Times New Roman"/>
              </w:rPr>
              <w:t>20</w:t>
            </w:r>
          </w:p>
        </w:tc>
        <w:tc>
          <w:tcPr>
            <w:tcW w:w="1530" w:type="dxa"/>
          </w:tcPr>
          <w:p w:rsidR="00FF04F4" w:rsidRDefault="00553A33" w:rsidP="001A4095">
            <w:pPr>
              <w:contextualSpacing/>
              <w:jc w:val="center"/>
              <w:rPr>
                <w:rFonts w:cs="Times New Roman"/>
              </w:rPr>
            </w:pPr>
            <w:r>
              <w:rPr>
                <w:rFonts w:cs="Times New Roman"/>
              </w:rPr>
              <w:t>71%</w:t>
            </w:r>
          </w:p>
        </w:tc>
      </w:tr>
      <w:tr w:rsidR="00FF04F4" w:rsidTr="00FF04F4">
        <w:tc>
          <w:tcPr>
            <w:tcW w:w="3060" w:type="dxa"/>
          </w:tcPr>
          <w:p w:rsidR="00FF04F4" w:rsidRDefault="00FF04F4" w:rsidP="001A4095">
            <w:pPr>
              <w:contextualSpacing/>
              <w:rPr>
                <w:rFonts w:cs="Times New Roman"/>
              </w:rPr>
            </w:pPr>
            <w:r>
              <w:rPr>
                <w:rFonts w:cs="Times New Roman"/>
              </w:rPr>
              <w:t>Referrals assigned to CMHCs</w:t>
            </w:r>
          </w:p>
        </w:tc>
        <w:tc>
          <w:tcPr>
            <w:tcW w:w="2790" w:type="dxa"/>
          </w:tcPr>
          <w:p w:rsidR="00FF04F4" w:rsidRDefault="00FF04F4" w:rsidP="001A4095">
            <w:pPr>
              <w:contextualSpacing/>
              <w:jc w:val="center"/>
              <w:rPr>
                <w:rFonts w:cs="Times New Roman"/>
              </w:rPr>
            </w:pPr>
            <w:r>
              <w:rPr>
                <w:rFonts w:cs="Times New Roman"/>
              </w:rPr>
              <w:t>5</w:t>
            </w:r>
          </w:p>
        </w:tc>
        <w:tc>
          <w:tcPr>
            <w:tcW w:w="1530" w:type="dxa"/>
          </w:tcPr>
          <w:p w:rsidR="00FF04F4" w:rsidRDefault="00553A33" w:rsidP="001A4095">
            <w:pPr>
              <w:contextualSpacing/>
              <w:jc w:val="center"/>
              <w:rPr>
                <w:rFonts w:cs="Times New Roman"/>
              </w:rPr>
            </w:pPr>
            <w:r>
              <w:rPr>
                <w:rFonts w:cs="Times New Roman"/>
              </w:rPr>
              <w:t>18%</w:t>
            </w:r>
          </w:p>
        </w:tc>
      </w:tr>
      <w:tr w:rsidR="00FF04F4" w:rsidTr="00FF04F4">
        <w:tc>
          <w:tcPr>
            <w:tcW w:w="3060" w:type="dxa"/>
          </w:tcPr>
          <w:p w:rsidR="00FF04F4" w:rsidRDefault="00FF04F4" w:rsidP="001A4095">
            <w:pPr>
              <w:contextualSpacing/>
              <w:rPr>
                <w:rFonts w:cs="Times New Roman"/>
              </w:rPr>
            </w:pPr>
            <w:r>
              <w:rPr>
                <w:rFonts w:cs="Times New Roman"/>
              </w:rPr>
              <w:t xml:space="preserve">Referrals assigned and transitioned </w:t>
            </w:r>
          </w:p>
        </w:tc>
        <w:tc>
          <w:tcPr>
            <w:tcW w:w="2790" w:type="dxa"/>
          </w:tcPr>
          <w:p w:rsidR="00FF04F4" w:rsidRDefault="00FF04F4" w:rsidP="001A4095">
            <w:pPr>
              <w:contextualSpacing/>
              <w:jc w:val="center"/>
              <w:rPr>
                <w:rFonts w:cs="Times New Roman"/>
              </w:rPr>
            </w:pPr>
            <w:r>
              <w:rPr>
                <w:rFonts w:cs="Times New Roman"/>
              </w:rPr>
              <w:t>2</w:t>
            </w:r>
          </w:p>
        </w:tc>
        <w:tc>
          <w:tcPr>
            <w:tcW w:w="1530" w:type="dxa"/>
          </w:tcPr>
          <w:p w:rsidR="00FF04F4" w:rsidRDefault="001F04D1" w:rsidP="001A4095">
            <w:pPr>
              <w:contextualSpacing/>
              <w:jc w:val="center"/>
              <w:rPr>
                <w:rFonts w:cs="Times New Roman"/>
              </w:rPr>
            </w:pPr>
            <w:r>
              <w:rPr>
                <w:rFonts w:cs="Times New Roman"/>
              </w:rPr>
              <w:t>7</w:t>
            </w:r>
            <w:r w:rsidR="00553A33">
              <w:rPr>
                <w:rFonts w:cs="Times New Roman"/>
              </w:rPr>
              <w:t>%</w:t>
            </w:r>
          </w:p>
        </w:tc>
      </w:tr>
      <w:tr w:rsidR="00FF04F4" w:rsidTr="00FF04F4">
        <w:tc>
          <w:tcPr>
            <w:tcW w:w="3060" w:type="dxa"/>
          </w:tcPr>
          <w:p w:rsidR="00FF04F4" w:rsidRDefault="00FF04F4" w:rsidP="001A4095">
            <w:pPr>
              <w:contextualSpacing/>
              <w:rPr>
                <w:rFonts w:cs="Times New Roman"/>
              </w:rPr>
            </w:pPr>
            <w:r>
              <w:rPr>
                <w:rFonts w:cs="Times New Roman"/>
              </w:rPr>
              <w:t xml:space="preserve">Referred to CCRP </w:t>
            </w:r>
          </w:p>
        </w:tc>
        <w:tc>
          <w:tcPr>
            <w:tcW w:w="2790" w:type="dxa"/>
          </w:tcPr>
          <w:p w:rsidR="00FF04F4" w:rsidRDefault="00FF04F4" w:rsidP="001A4095">
            <w:pPr>
              <w:contextualSpacing/>
              <w:jc w:val="center"/>
              <w:rPr>
                <w:rFonts w:cs="Times New Roman"/>
              </w:rPr>
            </w:pPr>
            <w:r>
              <w:rPr>
                <w:rFonts w:cs="Times New Roman"/>
              </w:rPr>
              <w:t>2</w:t>
            </w:r>
          </w:p>
        </w:tc>
        <w:tc>
          <w:tcPr>
            <w:tcW w:w="1530" w:type="dxa"/>
          </w:tcPr>
          <w:p w:rsidR="00FF04F4" w:rsidRDefault="001F04D1" w:rsidP="001A4095">
            <w:pPr>
              <w:contextualSpacing/>
              <w:jc w:val="center"/>
              <w:rPr>
                <w:rFonts w:cs="Times New Roman"/>
              </w:rPr>
            </w:pPr>
            <w:r>
              <w:rPr>
                <w:rFonts w:cs="Times New Roman"/>
              </w:rPr>
              <w:t>7</w:t>
            </w:r>
            <w:r w:rsidR="00553A33">
              <w:rPr>
                <w:rFonts w:cs="Times New Roman"/>
              </w:rPr>
              <w:t>%</w:t>
            </w:r>
          </w:p>
        </w:tc>
      </w:tr>
    </w:tbl>
    <w:p w:rsidR="001A4095" w:rsidRDefault="001A4095" w:rsidP="001A4095">
      <w:pPr>
        <w:pStyle w:val="PlainText"/>
      </w:pPr>
    </w:p>
    <w:p w:rsidR="00C37687" w:rsidRDefault="00C37687" w:rsidP="00C37687">
      <w:pPr>
        <w:pStyle w:val="PlainText"/>
      </w:pPr>
      <w:r>
        <w:t>The reason</w:t>
      </w:r>
      <w:r w:rsidR="00CF6C0A">
        <w:t>s</w:t>
      </w:r>
      <w:r>
        <w:t xml:space="preserve"> for </w:t>
      </w:r>
      <w:r w:rsidR="006E550D">
        <w:t xml:space="preserve">the 14 </w:t>
      </w:r>
      <w:r w:rsidR="00CF6C0A">
        <w:t xml:space="preserve">Neuropsychological </w:t>
      </w:r>
      <w:r>
        <w:t>assessments not being completed are as follow</w:t>
      </w:r>
      <w:r w:rsidR="00031FEC">
        <w:t>s</w:t>
      </w:r>
      <w:r>
        <w:t>:</w:t>
      </w:r>
    </w:p>
    <w:p w:rsidR="00031FEC" w:rsidRDefault="00031FEC" w:rsidP="00C37687">
      <w:pPr>
        <w:pStyle w:val="PlainText"/>
      </w:pPr>
    </w:p>
    <w:p w:rsidR="00C37687" w:rsidRDefault="00C37687" w:rsidP="00C37687">
      <w:pPr>
        <w:pStyle w:val="PlainText"/>
      </w:pPr>
      <w:r>
        <w:t xml:space="preserve">1. Declined to give consent to participate in the evaluation (4) </w:t>
      </w:r>
    </w:p>
    <w:p w:rsidR="00C37687" w:rsidRDefault="00C37687" w:rsidP="00C37687">
      <w:pPr>
        <w:pStyle w:val="PlainText"/>
      </w:pPr>
      <w:r>
        <w:t xml:space="preserve">2. Declined to participate in the assessment after initially giving consent (4) </w:t>
      </w:r>
    </w:p>
    <w:p w:rsidR="00C37687" w:rsidRDefault="00C37687" w:rsidP="00C37687">
      <w:pPr>
        <w:pStyle w:val="PlainText"/>
      </w:pPr>
      <w:r>
        <w:t xml:space="preserve">3. Transferred to SNF (1) – greater level of care need </w:t>
      </w:r>
    </w:p>
    <w:p w:rsidR="00C37687" w:rsidRDefault="00C37687" w:rsidP="00C37687">
      <w:pPr>
        <w:pStyle w:val="PlainText"/>
      </w:pPr>
      <w:r>
        <w:t xml:space="preserve">4. Hospitalized for psychiatric instability (2) </w:t>
      </w:r>
    </w:p>
    <w:p w:rsidR="00C37687" w:rsidRDefault="00C37687" w:rsidP="00C37687">
      <w:pPr>
        <w:pStyle w:val="PlainText"/>
      </w:pPr>
      <w:r>
        <w:t>5. Discharged from IMD's - whereabouts unknown (3)</w:t>
      </w:r>
    </w:p>
    <w:p w:rsidR="00C37687" w:rsidRDefault="00C37687" w:rsidP="00C37687">
      <w:pPr>
        <w:pStyle w:val="PlainText"/>
      </w:pPr>
    </w:p>
    <w:p w:rsidR="00C37687" w:rsidRDefault="00C37687" w:rsidP="00C37687">
      <w:pPr>
        <w:pStyle w:val="PlainText"/>
      </w:pPr>
      <w:r>
        <w:t>Outcome of CM's referred to transition (5)</w:t>
      </w:r>
      <w:r w:rsidR="00CF6C0A">
        <w:t>:</w:t>
      </w:r>
    </w:p>
    <w:p w:rsidR="00CF6C0A" w:rsidRDefault="00CF6C0A" w:rsidP="00C37687">
      <w:pPr>
        <w:pStyle w:val="PlainText"/>
      </w:pPr>
    </w:p>
    <w:p w:rsidR="00C37687" w:rsidRDefault="00C37687" w:rsidP="00C37687">
      <w:pPr>
        <w:pStyle w:val="PlainText"/>
      </w:pPr>
      <w:r>
        <w:t xml:space="preserve">1 </w:t>
      </w:r>
      <w:r w:rsidR="00CF6C0A">
        <w:t xml:space="preserve">- </w:t>
      </w:r>
      <w:r>
        <w:t>Transitioned</w:t>
      </w:r>
    </w:p>
    <w:p w:rsidR="00C37687" w:rsidRDefault="00C37687" w:rsidP="00C37687">
      <w:pPr>
        <w:pStyle w:val="PlainText"/>
      </w:pPr>
      <w:r>
        <w:t xml:space="preserve">1 </w:t>
      </w:r>
      <w:r w:rsidR="00CF6C0A">
        <w:t xml:space="preserve">- </w:t>
      </w:r>
      <w:r>
        <w:t>Lease signed</w:t>
      </w:r>
    </w:p>
    <w:p w:rsidR="00C37687" w:rsidRDefault="00C37687" w:rsidP="00C37687">
      <w:pPr>
        <w:pStyle w:val="PlainText"/>
      </w:pPr>
      <w:r>
        <w:t xml:space="preserve">1 </w:t>
      </w:r>
      <w:r w:rsidR="00CF6C0A">
        <w:t xml:space="preserve">- </w:t>
      </w:r>
      <w:r>
        <w:t>Class Member declined to transition</w:t>
      </w:r>
    </w:p>
    <w:p w:rsidR="00C37687" w:rsidRDefault="00C37687" w:rsidP="00C37687">
      <w:pPr>
        <w:pStyle w:val="PlainText"/>
      </w:pPr>
      <w:r>
        <w:t xml:space="preserve">2 </w:t>
      </w:r>
      <w:r w:rsidR="00CF6C0A">
        <w:t xml:space="preserve">- </w:t>
      </w:r>
      <w:r>
        <w:t>Disposition</w:t>
      </w:r>
      <w:r w:rsidR="00CF6C0A">
        <w:t>s</w:t>
      </w:r>
      <w:r>
        <w:t xml:space="preserve"> pending</w:t>
      </w:r>
    </w:p>
    <w:p w:rsidR="00C37687" w:rsidRDefault="00C37687" w:rsidP="00C37687">
      <w:pPr>
        <w:pStyle w:val="PlainText"/>
      </w:pPr>
    </w:p>
    <w:p w:rsidR="001A4095" w:rsidRDefault="001A4095" w:rsidP="001A4095">
      <w:pPr>
        <w:pStyle w:val="PlainText"/>
      </w:pPr>
    </w:p>
    <w:p w:rsidR="00C37687" w:rsidRDefault="00C37687" w:rsidP="001A4095">
      <w:pPr>
        <w:pStyle w:val="PlainText"/>
      </w:pPr>
    </w:p>
    <w:p w:rsidR="001A4095" w:rsidRDefault="00FF04F4" w:rsidP="001A4095">
      <w:pPr>
        <w:pStyle w:val="PlainText"/>
      </w:pPr>
      <w:r>
        <w:t xml:space="preserve">During this reporting period, </w:t>
      </w:r>
      <w:r w:rsidR="001A4095">
        <w:t xml:space="preserve">42 referrals for Neuropsychological Evaluations. Of the 42 referrals received 17 </w:t>
      </w:r>
      <w:r>
        <w:t xml:space="preserve">(40%) </w:t>
      </w:r>
      <w:r w:rsidR="001A4095">
        <w:t xml:space="preserve">were from </w:t>
      </w:r>
      <w:r>
        <w:t>CMHCs</w:t>
      </w:r>
      <w:r w:rsidR="00260CC3">
        <w:t xml:space="preserve">, </w:t>
      </w:r>
      <w:r w:rsidR="001A4095">
        <w:t xml:space="preserve">remaining 23 </w:t>
      </w:r>
      <w:r>
        <w:t>(55%) were</w:t>
      </w:r>
      <w:r w:rsidR="001A4095">
        <w:t xml:space="preserve"> referred via Resident Review Assessment to clarify concerns around cognition</w:t>
      </w:r>
      <w:r>
        <w:t xml:space="preserve">. </w:t>
      </w:r>
      <w:r w:rsidR="00260CC3">
        <w:t xml:space="preserve"> An additional 2 Class Members (5%) were already living in the community.  </w:t>
      </w:r>
      <w:r w:rsidR="001A4095">
        <w:t xml:space="preserve"> Of the 28 Neuropsychological Evaluations completed</w:t>
      </w:r>
      <w:r w:rsidR="00553A33">
        <w:t>,</w:t>
      </w:r>
      <w:r w:rsidR="001A4095">
        <w:t xml:space="preserve"> recommendations for 20 Class Members </w:t>
      </w:r>
      <w:r w:rsidR="00553A33">
        <w:t xml:space="preserve">(71%) </w:t>
      </w:r>
      <w:r w:rsidR="001A4095">
        <w:t>noted that they were currently receiving the appropriate level of care needed</w:t>
      </w:r>
      <w:r w:rsidR="00553A33">
        <w:t>, based on the outcome findings from the test batteries conducted.  T</w:t>
      </w:r>
      <w:r w:rsidR="001A4095">
        <w:t xml:space="preserve">he remaining 8 Class </w:t>
      </w:r>
      <w:r w:rsidR="00553A33">
        <w:t>M</w:t>
      </w:r>
      <w:r w:rsidR="001A4095">
        <w:t xml:space="preserve">embers </w:t>
      </w:r>
      <w:r w:rsidR="00553A33">
        <w:t xml:space="preserve">(26%) </w:t>
      </w:r>
      <w:r w:rsidR="001A4095">
        <w:t>were deemed a</w:t>
      </w:r>
      <w:r w:rsidR="00781113">
        <w:t>ppropriate for a supervised/</w:t>
      </w:r>
      <w:r w:rsidR="001A4095">
        <w:t xml:space="preserve">supported group living </w:t>
      </w:r>
      <w:r w:rsidR="00781113">
        <w:t>environment</w:t>
      </w:r>
      <w:r w:rsidR="001A4095">
        <w:t xml:space="preserve"> with</w:t>
      </w:r>
      <w:r w:rsidR="00553A33">
        <w:t xml:space="preserve"> adequate </w:t>
      </w:r>
      <w:r w:rsidR="001A4095">
        <w:t>supports and services to provide skill</w:t>
      </w:r>
      <w:r w:rsidR="00553A33">
        <w:t>s</w:t>
      </w:r>
      <w:r w:rsidR="001A4095">
        <w:t xml:space="preserve"> training in </w:t>
      </w:r>
      <w:r w:rsidR="00553A33">
        <w:t>deficit</w:t>
      </w:r>
      <w:r w:rsidR="001A4095">
        <w:t xml:space="preserve"> areas of activities of daily living, community reintegration, medication management and supervision.  </w:t>
      </w:r>
      <w:r w:rsidR="00553A33">
        <w:t xml:space="preserve"> </w:t>
      </w:r>
      <w:r w:rsidR="00781113">
        <w:t>The</w:t>
      </w:r>
      <w:r w:rsidR="001A4095">
        <w:t xml:space="preserve"> referring </w:t>
      </w:r>
      <w:r w:rsidR="00553A33">
        <w:t xml:space="preserve">CMHCs </w:t>
      </w:r>
      <w:r w:rsidR="001A4095">
        <w:t xml:space="preserve">have received copies of the completed Neuropsychological Evaluations to assist their teams in assessing transition planning.  Resident Review Teams have also received copies of the </w:t>
      </w:r>
      <w:r w:rsidR="00842F4D">
        <w:t>evaluations, which</w:t>
      </w:r>
      <w:r w:rsidR="001A4095">
        <w:t xml:space="preserve"> will be instrumental in making future clinical </w:t>
      </w:r>
      <w:r w:rsidR="00842F4D">
        <w:t>judgments</w:t>
      </w:r>
      <w:r w:rsidR="001A4095">
        <w:t xml:space="preserve"> based on the expertise provided through the evaluation process. </w:t>
      </w:r>
    </w:p>
    <w:p w:rsidR="00D50938" w:rsidRPr="00076EBA" w:rsidRDefault="00D50938" w:rsidP="001A4095">
      <w:pPr>
        <w:rPr>
          <w:sz w:val="24"/>
          <w:szCs w:val="24"/>
        </w:rPr>
      </w:pPr>
    </w:p>
    <w:p w:rsidR="001A4095" w:rsidRPr="0021732C" w:rsidRDefault="001A4095" w:rsidP="001A4095">
      <w:pPr>
        <w:pBdr>
          <w:top w:val="double" w:sz="6" w:space="1" w:color="943634" w:themeColor="accent2" w:themeShade="BF"/>
          <w:left w:val="double" w:sz="6" w:space="4" w:color="943634" w:themeColor="accent2" w:themeShade="BF"/>
          <w:bottom w:val="double" w:sz="6" w:space="1" w:color="943634" w:themeColor="accent2" w:themeShade="BF"/>
          <w:right w:val="double" w:sz="6" w:space="4" w:color="943634" w:themeColor="accent2" w:themeShade="BF"/>
          <w:between w:val="double" w:sz="6" w:space="1" w:color="943634" w:themeColor="accent2" w:themeShade="BF"/>
          <w:bar w:val="double" w:sz="6" w:color="943634" w:themeColor="accent2" w:themeShade="BF"/>
        </w:pBdr>
        <w:shd w:val="clear" w:color="auto" w:fill="F2DBDB" w:themeFill="accent2" w:themeFillTint="33"/>
        <w:rPr>
          <w:rFonts w:cs="Times New Roman"/>
          <w:i/>
        </w:rPr>
      </w:pPr>
      <w:r w:rsidRPr="0021732C">
        <w:rPr>
          <w:rFonts w:cs="Times New Roman"/>
          <w:i/>
        </w:rPr>
        <w:t>Calls</w:t>
      </w:r>
      <w:r w:rsidR="0021732C">
        <w:rPr>
          <w:rFonts w:cs="Times New Roman"/>
          <w:i/>
        </w:rPr>
        <w:t xml:space="preserve"> Log</w:t>
      </w:r>
      <w:r w:rsidRPr="0021732C">
        <w:rPr>
          <w:rFonts w:cs="Times New Roman"/>
          <w:i/>
        </w:rPr>
        <w:t>, Complaints, Appeals</w:t>
      </w:r>
    </w:p>
    <w:p w:rsidR="0021732C" w:rsidRPr="007949F1" w:rsidRDefault="0021732C" w:rsidP="00D50938">
      <w:pPr>
        <w:pStyle w:val="PlainText"/>
        <w:rPr>
          <w:b/>
        </w:rPr>
      </w:pPr>
      <w:bookmarkStart w:id="13" w:name="_Hlk520718603"/>
    </w:p>
    <w:p w:rsidR="0021732C" w:rsidRPr="007949F1" w:rsidRDefault="0021732C" w:rsidP="00D50938">
      <w:pPr>
        <w:pStyle w:val="PlainText"/>
        <w:rPr>
          <w:b/>
        </w:rPr>
      </w:pPr>
      <w:r w:rsidRPr="007949F1">
        <w:rPr>
          <w:b/>
        </w:rPr>
        <w:t>Call Log:</w:t>
      </w:r>
    </w:p>
    <w:p w:rsidR="0021732C" w:rsidRDefault="0021732C" w:rsidP="00D50938">
      <w:pPr>
        <w:pStyle w:val="PlainText"/>
      </w:pPr>
    </w:p>
    <w:p w:rsidR="0021732C" w:rsidRDefault="0021732C" w:rsidP="00D50938">
      <w:pPr>
        <w:pStyle w:val="PlainText"/>
      </w:pPr>
      <w:r>
        <w:t xml:space="preserve">During this reporting period, there were 36 calls </w:t>
      </w:r>
      <w:r w:rsidR="00CA4CE1">
        <w:t xml:space="preserve">were made </w:t>
      </w:r>
      <w:r>
        <w:t>to t</w:t>
      </w:r>
      <w:r w:rsidR="00842F4D">
        <w:t xml:space="preserve">he Williams warm line number.  </w:t>
      </w:r>
      <w:r>
        <w:t>32 calls were from Class Members and 4 were from others seeking information on behalf of a Class Member.</w:t>
      </w:r>
      <w:r w:rsidR="00842F4D">
        <w:t xml:space="preserve"> </w:t>
      </w:r>
      <w:r w:rsidR="00A559AF">
        <w:t>The calls were separated into six distinct categories:</w:t>
      </w:r>
    </w:p>
    <w:p w:rsidR="00A559AF" w:rsidRDefault="00A559AF" w:rsidP="00D50938">
      <w:pPr>
        <w:pStyle w:val="PlainText"/>
      </w:pPr>
    </w:p>
    <w:p w:rsidR="007C7FB4" w:rsidRDefault="007C7FB4" w:rsidP="00D50938">
      <w:pPr>
        <w:pStyle w:val="PlainText"/>
      </w:pPr>
      <w:r>
        <w:t>Call Categories January 1, 2018 – June 30, 2018</w:t>
      </w:r>
    </w:p>
    <w:p w:rsidR="00A559AF" w:rsidRDefault="00A559AF" w:rsidP="00A559AF">
      <w:pPr>
        <w:pStyle w:val="PlainText"/>
        <w:numPr>
          <w:ilvl w:val="0"/>
          <w:numId w:val="17"/>
        </w:numPr>
      </w:pPr>
      <w:r>
        <w:t>Transition Status update</w:t>
      </w:r>
      <w:r>
        <w:tab/>
      </w:r>
      <w:r>
        <w:tab/>
        <w:t>16</w:t>
      </w:r>
    </w:p>
    <w:p w:rsidR="00A559AF" w:rsidRDefault="00A559AF" w:rsidP="00826378">
      <w:pPr>
        <w:pStyle w:val="PlainText"/>
        <w:numPr>
          <w:ilvl w:val="0"/>
          <w:numId w:val="17"/>
        </w:numPr>
      </w:pPr>
      <w:r>
        <w:t>Appeal Status update</w:t>
      </w:r>
      <w:r>
        <w:tab/>
      </w:r>
      <w:r>
        <w:tab/>
      </w:r>
      <w:r>
        <w:tab/>
        <w:t>3</w:t>
      </w:r>
    </w:p>
    <w:p w:rsidR="00A559AF" w:rsidRDefault="007C7FB4" w:rsidP="00826378">
      <w:pPr>
        <w:pStyle w:val="PlainText"/>
        <w:numPr>
          <w:ilvl w:val="0"/>
          <w:numId w:val="17"/>
        </w:numPr>
      </w:pPr>
      <w:r>
        <w:t xml:space="preserve">Other </w:t>
      </w:r>
      <w:r w:rsidR="00A559AF">
        <w:t>Options</w:t>
      </w:r>
      <w:r w:rsidR="00A559AF">
        <w:tab/>
      </w:r>
      <w:r w:rsidR="00A559AF">
        <w:tab/>
      </w:r>
      <w:r w:rsidR="00A559AF">
        <w:tab/>
      </w:r>
      <w:r w:rsidR="00A559AF">
        <w:tab/>
        <w:t>6</w:t>
      </w:r>
    </w:p>
    <w:p w:rsidR="00A559AF" w:rsidRDefault="00A559AF" w:rsidP="00826378">
      <w:pPr>
        <w:pStyle w:val="PlainText"/>
        <w:numPr>
          <w:ilvl w:val="0"/>
          <w:numId w:val="17"/>
        </w:numPr>
      </w:pPr>
      <w:r>
        <w:t>Complaint against agency</w:t>
      </w:r>
      <w:r>
        <w:tab/>
      </w:r>
      <w:r>
        <w:tab/>
        <w:t>1</w:t>
      </w:r>
    </w:p>
    <w:p w:rsidR="00A559AF" w:rsidRDefault="00A559AF" w:rsidP="00A559AF">
      <w:pPr>
        <w:pStyle w:val="PlainText"/>
        <w:numPr>
          <w:ilvl w:val="0"/>
          <w:numId w:val="17"/>
        </w:numPr>
      </w:pPr>
      <w:r>
        <w:t>Request for an assessment</w:t>
      </w:r>
      <w:r>
        <w:tab/>
      </w:r>
      <w:r>
        <w:tab/>
        <w:t>3</w:t>
      </w:r>
    </w:p>
    <w:p w:rsidR="007C7FB4" w:rsidRDefault="00A559AF" w:rsidP="007C7FB4">
      <w:pPr>
        <w:pStyle w:val="PlainText"/>
        <w:numPr>
          <w:ilvl w:val="0"/>
          <w:numId w:val="17"/>
        </w:numPr>
      </w:pPr>
      <w:r>
        <w:t>Other</w:t>
      </w:r>
      <w:r>
        <w:tab/>
      </w:r>
      <w:r>
        <w:tab/>
      </w:r>
      <w:r>
        <w:tab/>
      </w:r>
      <w:r>
        <w:tab/>
      </w:r>
      <w:r>
        <w:tab/>
        <w:t>7</w:t>
      </w:r>
    </w:p>
    <w:p w:rsidR="007C7FB4" w:rsidRDefault="007C7FB4" w:rsidP="007C7FB4">
      <w:pPr>
        <w:pStyle w:val="PlainText"/>
      </w:pPr>
    </w:p>
    <w:p w:rsidR="007C7FB4" w:rsidRDefault="007C7FB4" w:rsidP="007C7FB4">
      <w:pPr>
        <w:pStyle w:val="PlainText"/>
      </w:pPr>
      <w:r>
        <w:t>Call Categories July 1, 2017 – December 31, 2018</w:t>
      </w:r>
    </w:p>
    <w:p w:rsidR="007C7FB4" w:rsidRDefault="007C7FB4" w:rsidP="007C7FB4">
      <w:pPr>
        <w:pStyle w:val="PlainText"/>
      </w:pPr>
    </w:p>
    <w:p w:rsidR="007C7FB4" w:rsidRDefault="007C7FB4" w:rsidP="0015694F">
      <w:pPr>
        <w:pStyle w:val="PlainText"/>
        <w:numPr>
          <w:ilvl w:val="0"/>
          <w:numId w:val="23"/>
        </w:numPr>
      </w:pPr>
      <w:r>
        <w:t>Transition Status update</w:t>
      </w:r>
    </w:p>
    <w:p w:rsidR="007C7FB4" w:rsidRDefault="007C7FB4" w:rsidP="0015694F">
      <w:pPr>
        <w:pStyle w:val="PlainText"/>
        <w:numPr>
          <w:ilvl w:val="0"/>
          <w:numId w:val="23"/>
        </w:numPr>
      </w:pPr>
      <w:r>
        <w:t>Appeal Status update</w:t>
      </w:r>
    </w:p>
    <w:p w:rsidR="007C7FB4" w:rsidRDefault="007C7FB4" w:rsidP="0015694F">
      <w:pPr>
        <w:pStyle w:val="PlainText"/>
        <w:numPr>
          <w:ilvl w:val="0"/>
          <w:numId w:val="23"/>
        </w:numPr>
      </w:pPr>
      <w:r>
        <w:t>Other Options</w:t>
      </w:r>
    </w:p>
    <w:p w:rsidR="007C7FB4" w:rsidRDefault="007C7FB4" w:rsidP="0015694F">
      <w:pPr>
        <w:pStyle w:val="PlainText"/>
        <w:numPr>
          <w:ilvl w:val="0"/>
          <w:numId w:val="23"/>
        </w:numPr>
      </w:pPr>
      <w:r>
        <w:t>Complaint against agency</w:t>
      </w:r>
    </w:p>
    <w:p w:rsidR="007C7FB4" w:rsidRDefault="007C7FB4" w:rsidP="0015694F">
      <w:pPr>
        <w:pStyle w:val="PlainText"/>
        <w:numPr>
          <w:ilvl w:val="0"/>
          <w:numId w:val="23"/>
        </w:numPr>
      </w:pPr>
      <w:r>
        <w:t>Request for an assessment</w:t>
      </w:r>
    </w:p>
    <w:p w:rsidR="007C7FB4" w:rsidRDefault="007C7FB4" w:rsidP="0015694F">
      <w:pPr>
        <w:pStyle w:val="PlainText"/>
        <w:numPr>
          <w:ilvl w:val="0"/>
          <w:numId w:val="23"/>
        </w:numPr>
      </w:pPr>
      <w:r>
        <w:t>Other</w:t>
      </w:r>
    </w:p>
    <w:p w:rsidR="0021732C" w:rsidRDefault="0021732C" w:rsidP="00D50938">
      <w:pPr>
        <w:pStyle w:val="PlainText"/>
      </w:pPr>
    </w:p>
    <w:p w:rsidR="0015694F" w:rsidRDefault="0015694F" w:rsidP="00D50938">
      <w:pPr>
        <w:pStyle w:val="PlainText"/>
      </w:pPr>
      <w:r>
        <w:t xml:space="preserve">All materials (fliers, brochures, hand-outs) produced for </w:t>
      </w:r>
      <w:r w:rsidR="00AE0E83">
        <w:t xml:space="preserve">the </w:t>
      </w:r>
      <w:r>
        <w:t>Williams</w:t>
      </w:r>
      <w:r w:rsidR="00AE0E83">
        <w:t xml:space="preserve"> Consent </w:t>
      </w:r>
      <w:r>
        <w:t>ha</w:t>
      </w:r>
      <w:r w:rsidR="00031FEC">
        <w:t>ve</w:t>
      </w:r>
      <w:r>
        <w:t xml:space="preserve"> a 1-877-594-8599 number listed.  </w:t>
      </w:r>
      <w:r w:rsidR="00AE0E83">
        <w:t xml:space="preserve">This number was managed by the </w:t>
      </w:r>
      <w:r w:rsidR="00CE1568">
        <w:t>Mental Health Collaborative for Access and Choice.  When the contract for the Collaborative was renegotiated, their responsibility for managing the</w:t>
      </w:r>
      <w:r w:rsidR="00031FEC">
        <w:t xml:space="preserve"> line</w:t>
      </w:r>
      <w:r w:rsidR="00CE1568">
        <w:t xml:space="preserve"> was terminated.  Although </w:t>
      </w:r>
      <w:r>
        <w:t xml:space="preserve">this number is no longer serviced by the Collaborative, a voice message instructs callers to contact </w:t>
      </w:r>
      <w:r w:rsidR="00CE1568">
        <w:t>a DHS/</w:t>
      </w:r>
      <w:r>
        <w:t xml:space="preserve">DMH dedicated number (312) 814-8211.   This number is answered during regular business hours.   Messages </w:t>
      </w:r>
      <w:r w:rsidR="00CE1568">
        <w:t xml:space="preserve">left </w:t>
      </w:r>
      <w:r>
        <w:t>are returned the next business day.</w:t>
      </w:r>
    </w:p>
    <w:p w:rsidR="0015694F" w:rsidRDefault="0015694F" w:rsidP="00D50938">
      <w:pPr>
        <w:pStyle w:val="PlainText"/>
      </w:pPr>
    </w:p>
    <w:p w:rsidR="00C46735" w:rsidRDefault="00C46735" w:rsidP="00D50938">
      <w:pPr>
        <w:pStyle w:val="PlainText"/>
        <w:rPr>
          <w:b/>
          <w:highlight w:val="yellow"/>
        </w:rPr>
      </w:pPr>
    </w:p>
    <w:p w:rsidR="00C46735" w:rsidRDefault="00C46735" w:rsidP="00D50938">
      <w:pPr>
        <w:pStyle w:val="PlainText"/>
        <w:rPr>
          <w:b/>
          <w:highlight w:val="yellow"/>
        </w:rPr>
      </w:pPr>
    </w:p>
    <w:p w:rsidR="00D50938" w:rsidRPr="00DF3CA7" w:rsidRDefault="00D50938" w:rsidP="00D50938">
      <w:pPr>
        <w:pStyle w:val="PlainText"/>
        <w:rPr>
          <w:b/>
        </w:rPr>
      </w:pPr>
      <w:r w:rsidRPr="00DF3CA7">
        <w:rPr>
          <w:b/>
        </w:rPr>
        <w:t>Appeals:</w:t>
      </w:r>
      <w:r w:rsidR="00F8468E" w:rsidRPr="00DF3CA7">
        <w:rPr>
          <w:b/>
        </w:rPr>
        <w:t xml:space="preserve">  </w:t>
      </w:r>
    </w:p>
    <w:p w:rsidR="00D50938" w:rsidRPr="00DF3CA7" w:rsidRDefault="00D50938" w:rsidP="00D50938">
      <w:pPr>
        <w:pStyle w:val="PlainText"/>
      </w:pPr>
    </w:p>
    <w:p w:rsidR="00D50938" w:rsidRPr="00DF3CA7" w:rsidRDefault="00D50938" w:rsidP="00D50938">
      <w:pPr>
        <w:pStyle w:val="PlainText"/>
      </w:pPr>
      <w:r w:rsidRPr="00DF3CA7">
        <w:t xml:space="preserve">During this reporting period, there were 30 </w:t>
      </w:r>
      <w:r w:rsidR="00A41BC8" w:rsidRPr="00DF3CA7">
        <w:t xml:space="preserve">appeal </w:t>
      </w:r>
      <w:r w:rsidRPr="00DF3CA7">
        <w:t>request</w:t>
      </w:r>
      <w:r w:rsidR="00A41BC8" w:rsidRPr="00DF3CA7">
        <w:t>s</w:t>
      </w:r>
      <w:r w:rsidR="00842F4D" w:rsidRPr="00DF3CA7">
        <w:t xml:space="preserve">. </w:t>
      </w:r>
      <w:r w:rsidRPr="00DF3CA7">
        <w:t xml:space="preserve">These </w:t>
      </w:r>
      <w:r w:rsidR="0021732C" w:rsidRPr="00DF3CA7">
        <w:t>appeals</w:t>
      </w:r>
      <w:r w:rsidRPr="00DF3CA7">
        <w:t xml:space="preserve"> were se</w:t>
      </w:r>
      <w:r w:rsidR="0021732C" w:rsidRPr="00DF3CA7">
        <w:t>parated</w:t>
      </w:r>
      <w:r w:rsidRPr="00DF3CA7">
        <w:t xml:space="preserve"> into three distinct categories: (</w:t>
      </w:r>
      <w:r w:rsidR="00F5181C" w:rsidRPr="00DF3CA7">
        <w:t>I</w:t>
      </w:r>
      <w:r w:rsidRPr="00DF3CA7">
        <w:t>) Change of Agency</w:t>
      </w:r>
      <w:r w:rsidR="00AE51AE" w:rsidRPr="00DF3CA7">
        <w:t xml:space="preserve"> - 10</w:t>
      </w:r>
      <w:r w:rsidRPr="00DF3CA7">
        <w:t>, (</w:t>
      </w:r>
      <w:r w:rsidR="00F5181C" w:rsidRPr="00DF3CA7">
        <w:t>II</w:t>
      </w:r>
      <w:r w:rsidRPr="00DF3CA7">
        <w:t>) Resident Review Outcome</w:t>
      </w:r>
      <w:r w:rsidR="00AE51AE" w:rsidRPr="00DF3CA7">
        <w:t xml:space="preserve"> </w:t>
      </w:r>
      <w:r w:rsidR="00F5181C" w:rsidRPr="00DF3CA7">
        <w:t>–</w:t>
      </w:r>
      <w:r w:rsidR="00AE51AE" w:rsidRPr="00DF3CA7">
        <w:t xml:space="preserve"> 5</w:t>
      </w:r>
      <w:r w:rsidR="00F5181C" w:rsidRPr="00DF3CA7">
        <w:t>,</w:t>
      </w:r>
      <w:r w:rsidRPr="00DF3CA7">
        <w:t xml:space="preserve"> and (</w:t>
      </w:r>
      <w:r w:rsidR="00F5181C" w:rsidRPr="00DF3CA7">
        <w:t>III</w:t>
      </w:r>
      <w:r w:rsidRPr="00DF3CA7">
        <w:t>)</w:t>
      </w:r>
      <w:r w:rsidR="00B02811" w:rsidRPr="00DF3CA7">
        <w:t xml:space="preserve"> </w:t>
      </w:r>
      <w:r w:rsidR="00AE51AE" w:rsidRPr="00DF3CA7">
        <w:t>Decision Not to Proceed</w:t>
      </w:r>
      <w:r w:rsidR="00F5181C" w:rsidRPr="00DF3CA7">
        <w:t xml:space="preserve"> – 15.</w:t>
      </w:r>
    </w:p>
    <w:p w:rsidR="00D50938" w:rsidRPr="00DF3CA7" w:rsidRDefault="00D50938" w:rsidP="00D50938">
      <w:pPr>
        <w:pStyle w:val="PlainText"/>
      </w:pPr>
    </w:p>
    <w:p w:rsidR="00D50938" w:rsidRPr="00DF3CA7" w:rsidRDefault="00D50938" w:rsidP="00D50938">
      <w:pPr>
        <w:pStyle w:val="PlainText"/>
      </w:pPr>
      <w:r w:rsidRPr="00DF3CA7">
        <w:t xml:space="preserve"> </w:t>
      </w:r>
      <w:r w:rsidR="0021732C" w:rsidRPr="00DF3CA7">
        <w:t>T</w:t>
      </w:r>
      <w:r w:rsidR="00F5181C" w:rsidRPr="00DF3CA7">
        <w:t xml:space="preserve">he Appeal </w:t>
      </w:r>
      <w:r w:rsidR="0021732C" w:rsidRPr="00DF3CA7">
        <w:t>review</w:t>
      </w:r>
      <w:r w:rsidR="00F5181C" w:rsidRPr="00DF3CA7">
        <w:t xml:space="preserve"> decisions reflect the following:</w:t>
      </w:r>
    </w:p>
    <w:p w:rsidR="00F5181C" w:rsidRPr="00DF3CA7" w:rsidRDefault="00F5181C" w:rsidP="00D50938">
      <w:pPr>
        <w:pStyle w:val="PlainText"/>
      </w:pPr>
    </w:p>
    <w:p w:rsidR="00F5181C" w:rsidRPr="00DF3CA7" w:rsidRDefault="00F5181C" w:rsidP="00F5181C">
      <w:pPr>
        <w:pStyle w:val="PlainText"/>
        <w:numPr>
          <w:ilvl w:val="0"/>
          <w:numId w:val="13"/>
        </w:numPr>
        <w:spacing w:line="276" w:lineRule="auto"/>
      </w:pPr>
      <w:r w:rsidRPr="00DF3CA7">
        <w:t>Appeal - Change of Agency:</w:t>
      </w:r>
      <w:r w:rsidR="005B65BA" w:rsidRPr="00DF3CA7">
        <w:t xml:space="preserve">  33%</w:t>
      </w:r>
    </w:p>
    <w:p w:rsidR="00F5181C" w:rsidRPr="00DF3CA7" w:rsidRDefault="00D50938" w:rsidP="00F5181C">
      <w:pPr>
        <w:pStyle w:val="PlainText"/>
        <w:numPr>
          <w:ilvl w:val="0"/>
          <w:numId w:val="14"/>
        </w:numPr>
        <w:spacing w:line="276" w:lineRule="auto"/>
      </w:pPr>
      <w:r w:rsidRPr="00DF3CA7">
        <w:t xml:space="preserve">Agency assignment supported: </w:t>
      </w:r>
      <w:r w:rsidR="00F5181C" w:rsidRPr="00DF3CA7">
        <w:t xml:space="preserve">   </w:t>
      </w:r>
      <w:r w:rsidRPr="00DF3CA7">
        <w:t xml:space="preserve"> </w:t>
      </w:r>
      <w:r w:rsidR="00F5181C" w:rsidRPr="00DF3CA7">
        <w:tab/>
      </w:r>
      <w:r w:rsidRPr="00DF3CA7">
        <w:t>4</w:t>
      </w:r>
    </w:p>
    <w:p w:rsidR="00F5181C" w:rsidRPr="00DF3CA7" w:rsidRDefault="00D50938" w:rsidP="00F5181C">
      <w:pPr>
        <w:pStyle w:val="PlainText"/>
        <w:numPr>
          <w:ilvl w:val="0"/>
          <w:numId w:val="14"/>
        </w:numPr>
        <w:spacing w:line="276" w:lineRule="auto"/>
      </w:pPr>
      <w:r w:rsidRPr="00DF3CA7">
        <w:t xml:space="preserve">Agency assignment </w:t>
      </w:r>
      <w:r w:rsidR="0021732C" w:rsidRPr="00DF3CA7">
        <w:t>o</w:t>
      </w:r>
      <w:r w:rsidRPr="00DF3CA7">
        <w:t xml:space="preserve">verturned:  </w:t>
      </w:r>
      <w:r w:rsidR="00F5181C" w:rsidRPr="00DF3CA7">
        <w:tab/>
      </w:r>
      <w:r w:rsidRPr="00DF3CA7">
        <w:t>3</w:t>
      </w:r>
    </w:p>
    <w:p w:rsidR="00F5181C" w:rsidRPr="00DF3CA7" w:rsidRDefault="00F5181C" w:rsidP="00F5181C">
      <w:pPr>
        <w:pStyle w:val="PlainText"/>
        <w:numPr>
          <w:ilvl w:val="0"/>
          <w:numId w:val="14"/>
        </w:numPr>
        <w:spacing w:line="276" w:lineRule="auto"/>
      </w:pPr>
      <w:r w:rsidRPr="00DF3CA7">
        <w:t>Class Member w</w:t>
      </w:r>
      <w:r w:rsidR="00D50938" w:rsidRPr="00DF3CA7">
        <w:t xml:space="preserve">ithdrew </w:t>
      </w:r>
      <w:r w:rsidRPr="00DF3CA7">
        <w:t>the appeal</w:t>
      </w:r>
      <w:r w:rsidR="00D50938" w:rsidRPr="00DF3CA7">
        <w:t xml:space="preserve">: </w:t>
      </w:r>
      <w:r w:rsidRPr="00DF3CA7">
        <w:tab/>
      </w:r>
      <w:r w:rsidR="00D50938" w:rsidRPr="00DF3CA7">
        <w:t>2</w:t>
      </w:r>
    </w:p>
    <w:p w:rsidR="00D50938" w:rsidRPr="00DF3CA7" w:rsidRDefault="00D50938" w:rsidP="00F5181C">
      <w:pPr>
        <w:pStyle w:val="PlainText"/>
        <w:numPr>
          <w:ilvl w:val="0"/>
          <w:numId w:val="14"/>
        </w:numPr>
        <w:spacing w:line="276" w:lineRule="auto"/>
      </w:pPr>
      <w:r w:rsidRPr="00DF3CA7">
        <w:t xml:space="preserve">New </w:t>
      </w:r>
      <w:r w:rsidR="00F5181C" w:rsidRPr="00DF3CA7">
        <w:t>c</w:t>
      </w:r>
      <w:r w:rsidRPr="00DF3CA7">
        <w:t xml:space="preserve">aseworker </w:t>
      </w:r>
      <w:r w:rsidR="00F5181C" w:rsidRPr="00DF3CA7">
        <w:t xml:space="preserve">assignment: </w:t>
      </w:r>
      <w:r w:rsidR="00F5181C" w:rsidRPr="00DF3CA7">
        <w:tab/>
      </w:r>
      <w:r w:rsidR="00F5181C" w:rsidRPr="00DF3CA7">
        <w:tab/>
      </w:r>
      <w:r w:rsidRPr="00DF3CA7">
        <w:t>1</w:t>
      </w:r>
    </w:p>
    <w:p w:rsidR="00D50938" w:rsidRPr="00DF3CA7" w:rsidRDefault="00D50938" w:rsidP="00B02811">
      <w:pPr>
        <w:pStyle w:val="PlainText"/>
        <w:spacing w:line="276" w:lineRule="auto"/>
      </w:pPr>
      <w:r w:rsidRPr="00DF3CA7">
        <w:t xml:space="preserve">   </w:t>
      </w:r>
    </w:p>
    <w:p w:rsidR="00F5181C" w:rsidRPr="00DF3CA7" w:rsidRDefault="00F5181C" w:rsidP="00F5181C">
      <w:pPr>
        <w:pStyle w:val="PlainText"/>
        <w:numPr>
          <w:ilvl w:val="0"/>
          <w:numId w:val="13"/>
        </w:numPr>
        <w:spacing w:line="276" w:lineRule="auto"/>
      </w:pPr>
      <w:r w:rsidRPr="00DF3CA7">
        <w:t>A</w:t>
      </w:r>
      <w:r w:rsidR="00D50938" w:rsidRPr="00DF3CA7">
        <w:t xml:space="preserve">ppeal </w:t>
      </w:r>
      <w:r w:rsidRPr="00DF3CA7">
        <w:t xml:space="preserve">- </w:t>
      </w:r>
      <w:r w:rsidR="00D50938" w:rsidRPr="00DF3CA7">
        <w:t>Resident Review finding</w:t>
      </w:r>
      <w:r w:rsidR="005B65BA" w:rsidRPr="00DF3CA7">
        <w:t xml:space="preserve">:   17%   </w:t>
      </w:r>
    </w:p>
    <w:p w:rsidR="00F5181C" w:rsidRPr="00DF3CA7" w:rsidRDefault="00D50938" w:rsidP="00F5181C">
      <w:pPr>
        <w:pStyle w:val="PlainText"/>
        <w:numPr>
          <w:ilvl w:val="0"/>
          <w:numId w:val="15"/>
        </w:numPr>
        <w:spacing w:line="276" w:lineRule="auto"/>
      </w:pPr>
      <w:r w:rsidRPr="00DF3CA7">
        <w:t xml:space="preserve">Resident Review </w:t>
      </w:r>
      <w:r w:rsidR="0021732C" w:rsidRPr="00DF3CA7">
        <w:t xml:space="preserve">finding </w:t>
      </w:r>
      <w:r w:rsidRPr="00DF3CA7">
        <w:t>Su</w:t>
      </w:r>
      <w:r w:rsidR="00F5181C" w:rsidRPr="00DF3CA7">
        <w:t>pported</w:t>
      </w:r>
      <w:r w:rsidRPr="00DF3CA7">
        <w:t xml:space="preserve">: </w:t>
      </w:r>
      <w:r w:rsidR="00F5181C" w:rsidRPr="00DF3CA7">
        <w:tab/>
      </w:r>
      <w:r w:rsidRPr="00DF3CA7">
        <w:t>4</w:t>
      </w:r>
    </w:p>
    <w:p w:rsidR="00D50938" w:rsidRPr="00DF3CA7" w:rsidRDefault="00D50938" w:rsidP="00F5181C">
      <w:pPr>
        <w:pStyle w:val="PlainText"/>
        <w:numPr>
          <w:ilvl w:val="0"/>
          <w:numId w:val="15"/>
        </w:numPr>
        <w:spacing w:line="276" w:lineRule="auto"/>
      </w:pPr>
      <w:r w:rsidRPr="00DF3CA7">
        <w:t xml:space="preserve">Resident </w:t>
      </w:r>
      <w:r w:rsidR="0021732C" w:rsidRPr="00DF3CA7">
        <w:t>R</w:t>
      </w:r>
      <w:r w:rsidRPr="00DF3CA7">
        <w:t xml:space="preserve">eview </w:t>
      </w:r>
      <w:r w:rsidR="0021732C" w:rsidRPr="00DF3CA7">
        <w:t xml:space="preserve">finding </w:t>
      </w:r>
      <w:r w:rsidRPr="00DF3CA7">
        <w:t>overturned:</w:t>
      </w:r>
      <w:r w:rsidR="00F5181C" w:rsidRPr="00DF3CA7">
        <w:tab/>
      </w:r>
      <w:r w:rsidRPr="00DF3CA7">
        <w:t>1</w:t>
      </w:r>
    </w:p>
    <w:p w:rsidR="00F5181C" w:rsidRPr="00DF3CA7" w:rsidRDefault="00F5181C" w:rsidP="00B02811">
      <w:pPr>
        <w:pStyle w:val="PlainText"/>
        <w:spacing w:line="276" w:lineRule="auto"/>
      </w:pPr>
    </w:p>
    <w:p w:rsidR="00D50938" w:rsidRPr="00DF3CA7" w:rsidRDefault="00D50938" w:rsidP="00F5181C">
      <w:pPr>
        <w:pStyle w:val="PlainText"/>
        <w:numPr>
          <w:ilvl w:val="0"/>
          <w:numId w:val="13"/>
        </w:numPr>
        <w:spacing w:line="276" w:lineRule="auto"/>
      </w:pPr>
      <w:r w:rsidRPr="00DF3CA7">
        <w:t xml:space="preserve">Appeal – </w:t>
      </w:r>
      <w:r w:rsidR="00F5181C" w:rsidRPr="00DF3CA7">
        <w:t>D</w:t>
      </w:r>
      <w:r w:rsidRPr="00DF3CA7">
        <w:t xml:space="preserve">ecision not to proceed: </w:t>
      </w:r>
      <w:r w:rsidR="005B65BA" w:rsidRPr="00DF3CA7">
        <w:t xml:space="preserve">  50%</w:t>
      </w:r>
    </w:p>
    <w:p w:rsidR="00F5181C" w:rsidRPr="00DF3CA7" w:rsidRDefault="00F5181C" w:rsidP="00F5181C">
      <w:pPr>
        <w:pStyle w:val="PlainText"/>
        <w:numPr>
          <w:ilvl w:val="0"/>
          <w:numId w:val="16"/>
        </w:numPr>
        <w:spacing w:line="276" w:lineRule="auto"/>
      </w:pPr>
      <w:r w:rsidRPr="00DF3CA7">
        <w:t>R</w:t>
      </w:r>
      <w:r w:rsidR="00D50938" w:rsidRPr="00DF3CA7">
        <w:t xml:space="preserve">eferred to CAST/CCRP:          </w:t>
      </w:r>
      <w:r w:rsidRPr="00DF3CA7">
        <w:tab/>
      </w:r>
      <w:r w:rsidR="00D50938" w:rsidRPr="00DF3CA7">
        <w:t xml:space="preserve">             </w:t>
      </w:r>
      <w:r w:rsidR="0021732C" w:rsidRPr="00DF3CA7">
        <w:t xml:space="preserve"> </w:t>
      </w:r>
      <w:r w:rsidR="004150A5" w:rsidRPr="00DF3CA7">
        <w:t xml:space="preserve"> </w:t>
      </w:r>
      <w:r w:rsidR="00D50938" w:rsidRPr="00DF3CA7">
        <w:t>9</w:t>
      </w:r>
    </w:p>
    <w:p w:rsidR="00F5181C" w:rsidRPr="00DF3CA7" w:rsidRDefault="00D50938" w:rsidP="00F5181C">
      <w:pPr>
        <w:pStyle w:val="PlainText"/>
        <w:numPr>
          <w:ilvl w:val="0"/>
          <w:numId w:val="16"/>
        </w:numPr>
        <w:spacing w:line="276" w:lineRule="auto"/>
      </w:pPr>
      <w:r w:rsidRPr="00DF3CA7">
        <w:t xml:space="preserve">Class </w:t>
      </w:r>
      <w:r w:rsidR="00BD2791" w:rsidRPr="00DF3CA7">
        <w:t>M</w:t>
      </w:r>
      <w:r w:rsidRPr="00DF3CA7">
        <w:t>ember</w:t>
      </w:r>
      <w:r w:rsidR="00F5181C" w:rsidRPr="00DF3CA7">
        <w:t xml:space="preserve"> withdrew appeal</w:t>
      </w:r>
      <w:r w:rsidRPr="00DF3CA7">
        <w:t>:</w:t>
      </w:r>
      <w:r w:rsidR="005B65BA" w:rsidRPr="00DF3CA7">
        <w:tab/>
      </w:r>
      <w:r w:rsidR="00842F4D" w:rsidRPr="00DF3CA7">
        <w:t xml:space="preserve"> </w:t>
      </w:r>
      <w:r w:rsidR="005B65BA" w:rsidRPr="00DF3CA7">
        <w:t>3</w:t>
      </w:r>
      <w:r w:rsidR="00F5181C" w:rsidRPr="00DF3CA7">
        <w:tab/>
      </w:r>
    </w:p>
    <w:p w:rsidR="00D50938" w:rsidRPr="00DF3CA7" w:rsidRDefault="00D50938" w:rsidP="0021732C">
      <w:pPr>
        <w:pStyle w:val="PlainText"/>
        <w:numPr>
          <w:ilvl w:val="0"/>
          <w:numId w:val="16"/>
        </w:numPr>
        <w:spacing w:line="276" w:lineRule="auto"/>
      </w:pPr>
      <w:r w:rsidRPr="00DF3CA7">
        <w:t>Request</w:t>
      </w:r>
      <w:r w:rsidR="00F5181C" w:rsidRPr="00DF3CA7">
        <w:t xml:space="preserve"> for </w:t>
      </w:r>
      <w:r w:rsidRPr="00DF3CA7">
        <w:t xml:space="preserve">information:  </w:t>
      </w:r>
      <w:r w:rsidR="005B65BA" w:rsidRPr="00DF3CA7">
        <w:tab/>
      </w:r>
      <w:r w:rsidRPr="00DF3CA7">
        <w:t xml:space="preserve">             </w:t>
      </w:r>
      <w:r w:rsidR="0021732C" w:rsidRPr="00DF3CA7">
        <w:t xml:space="preserve"> </w:t>
      </w:r>
      <w:r w:rsidRPr="00DF3CA7">
        <w:t xml:space="preserve"> 3</w:t>
      </w:r>
      <w:bookmarkEnd w:id="13"/>
      <w:r w:rsidRPr="00DF3CA7">
        <w:t xml:space="preserve">            </w:t>
      </w:r>
    </w:p>
    <w:p w:rsidR="00D50938" w:rsidRPr="008E546C" w:rsidRDefault="00D50938" w:rsidP="00B02811">
      <w:pPr>
        <w:pStyle w:val="PlainText"/>
        <w:spacing w:line="276" w:lineRule="auto"/>
        <w:rPr>
          <w:highlight w:val="green"/>
        </w:rPr>
      </w:pPr>
    </w:p>
    <w:p w:rsidR="00FE15A9" w:rsidRDefault="00C46735" w:rsidP="00B02811">
      <w:pPr>
        <w:pStyle w:val="PlainText"/>
        <w:spacing w:line="276" w:lineRule="auto"/>
      </w:pPr>
      <w:r w:rsidRPr="00D305B5">
        <w:t>During July 2017 – December 201</w:t>
      </w:r>
      <w:r w:rsidR="000A6A04" w:rsidRPr="00D305B5">
        <w:t>7</w:t>
      </w:r>
      <w:r w:rsidRPr="00D305B5">
        <w:t>, there w</w:t>
      </w:r>
      <w:r w:rsidR="000A6A04" w:rsidRPr="00D305B5">
        <w:t>ere a</w:t>
      </w:r>
      <w:r w:rsidRPr="00D305B5">
        <w:t xml:space="preserve"> total of 51 calls received to the call line.   39 calls were from Class Members, 5 calls from family/guardians and 7 calls from other individuals seeking information about the Consent Decree.   These calls were not categorized until after January 2018.</w:t>
      </w:r>
      <w:r>
        <w:t xml:space="preserve"> </w:t>
      </w:r>
    </w:p>
    <w:sectPr w:rsidR="00FE15A9" w:rsidSect="00532732">
      <w:headerReference w:type="default" r:id="rId24"/>
      <w:foot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939" w:rsidRDefault="00EE3939" w:rsidP="00DB726A">
      <w:pPr>
        <w:spacing w:after="0" w:line="240" w:lineRule="auto"/>
      </w:pPr>
      <w:r>
        <w:separator/>
      </w:r>
    </w:p>
  </w:endnote>
  <w:endnote w:type="continuationSeparator" w:id="0">
    <w:p w:rsidR="00EE3939" w:rsidRDefault="00EE3939" w:rsidP="00DB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234520"/>
      <w:docPartObj>
        <w:docPartGallery w:val="Page Numbers (Bottom of Page)"/>
        <w:docPartUnique/>
      </w:docPartObj>
    </w:sdtPr>
    <w:sdtEndPr>
      <w:rPr>
        <w:color w:val="7F7F7F" w:themeColor="background1" w:themeShade="7F"/>
        <w:spacing w:val="60"/>
      </w:rPr>
    </w:sdtEndPr>
    <w:sdtContent>
      <w:p w:rsidR="008A7C78" w:rsidRDefault="008A7C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64</w:t>
        </w:r>
        <w:r>
          <w:rPr>
            <w:noProof/>
          </w:rPr>
          <w:fldChar w:fldCharType="end"/>
        </w:r>
        <w:r>
          <w:t xml:space="preserve"> | </w:t>
        </w:r>
        <w:r>
          <w:rPr>
            <w:color w:val="7F7F7F" w:themeColor="background1" w:themeShade="7F"/>
            <w:spacing w:val="60"/>
          </w:rPr>
          <w:t>Page</w:t>
        </w:r>
      </w:p>
    </w:sdtContent>
  </w:sdt>
  <w:p w:rsidR="008A7C78" w:rsidRDefault="008A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939" w:rsidRDefault="00EE3939" w:rsidP="00DB726A">
      <w:pPr>
        <w:spacing w:after="0" w:line="240" w:lineRule="auto"/>
      </w:pPr>
      <w:r>
        <w:separator/>
      </w:r>
    </w:p>
  </w:footnote>
  <w:footnote w:type="continuationSeparator" w:id="0">
    <w:p w:rsidR="00EE3939" w:rsidRDefault="00EE3939" w:rsidP="00DB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78" w:rsidRDefault="008A7C78">
    <w:pPr>
      <w:pStyle w:val="Header"/>
    </w:pPr>
    <w:r>
      <w:t>Williams vs. Rauner Consent Decree</w:t>
    </w:r>
  </w:p>
  <w:p w:rsidR="008A7C78" w:rsidRDefault="008A7C78">
    <w:pPr>
      <w:pStyle w:val="Header"/>
    </w:pPr>
    <w:r>
      <w:t xml:space="preserve">Semi-Annual Report #14  </w:t>
    </w:r>
  </w:p>
  <w:p w:rsidR="008A7C78" w:rsidRDefault="008A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43FC"/>
    <w:multiLevelType w:val="hybridMultilevel"/>
    <w:tmpl w:val="A37A0776"/>
    <w:lvl w:ilvl="0" w:tplc="357070E0">
      <w:start w:val="1"/>
      <w:numFmt w:val="lowerLetter"/>
      <w:lvlText w:val="%1."/>
      <w:lvlJc w:val="left"/>
      <w:pPr>
        <w:ind w:left="1590" w:hanging="5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533BEB"/>
    <w:multiLevelType w:val="hybridMultilevel"/>
    <w:tmpl w:val="E9E82DB2"/>
    <w:lvl w:ilvl="0" w:tplc="CC58DD56">
      <w:start w:val="3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6433"/>
    <w:multiLevelType w:val="hybridMultilevel"/>
    <w:tmpl w:val="82CE8A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00613"/>
    <w:multiLevelType w:val="hybridMultilevel"/>
    <w:tmpl w:val="E698ED62"/>
    <w:lvl w:ilvl="0" w:tplc="5136F13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34EBD"/>
    <w:multiLevelType w:val="hybridMultilevel"/>
    <w:tmpl w:val="189C9506"/>
    <w:lvl w:ilvl="0" w:tplc="E7544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B0070"/>
    <w:multiLevelType w:val="hybridMultilevel"/>
    <w:tmpl w:val="CD1C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D1231"/>
    <w:multiLevelType w:val="hybridMultilevel"/>
    <w:tmpl w:val="F7DC3564"/>
    <w:lvl w:ilvl="0" w:tplc="40AA1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C7B9A"/>
    <w:multiLevelType w:val="hybridMultilevel"/>
    <w:tmpl w:val="1AFE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16767"/>
    <w:multiLevelType w:val="hybridMultilevel"/>
    <w:tmpl w:val="6260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95141"/>
    <w:multiLevelType w:val="hybridMultilevel"/>
    <w:tmpl w:val="EC5A0138"/>
    <w:lvl w:ilvl="0" w:tplc="04769A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B5970"/>
    <w:multiLevelType w:val="hybridMultilevel"/>
    <w:tmpl w:val="7E2CF376"/>
    <w:lvl w:ilvl="0" w:tplc="20BE9B76">
      <w:start w:val="9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D7967"/>
    <w:multiLevelType w:val="hybridMultilevel"/>
    <w:tmpl w:val="829C1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A5CA6"/>
    <w:multiLevelType w:val="hybridMultilevel"/>
    <w:tmpl w:val="4950D928"/>
    <w:lvl w:ilvl="0" w:tplc="C34A7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6369E4"/>
    <w:multiLevelType w:val="hybridMultilevel"/>
    <w:tmpl w:val="212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94C74"/>
    <w:multiLevelType w:val="hybridMultilevel"/>
    <w:tmpl w:val="6186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21EC3"/>
    <w:multiLevelType w:val="hybridMultilevel"/>
    <w:tmpl w:val="47AACA26"/>
    <w:lvl w:ilvl="0" w:tplc="C456CEEC">
      <w:start w:val="1"/>
      <w:numFmt w:val="decimal"/>
      <w:lvlText w:val="%1."/>
      <w:lvlJc w:val="left"/>
      <w:pPr>
        <w:ind w:left="81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319B6"/>
    <w:multiLevelType w:val="hybridMultilevel"/>
    <w:tmpl w:val="A760AC20"/>
    <w:lvl w:ilvl="0" w:tplc="CC58DD56">
      <w:start w:val="3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A512B"/>
    <w:multiLevelType w:val="hybridMultilevel"/>
    <w:tmpl w:val="33B6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20313"/>
    <w:multiLevelType w:val="hybridMultilevel"/>
    <w:tmpl w:val="31609A62"/>
    <w:lvl w:ilvl="0" w:tplc="CF2410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F02628"/>
    <w:multiLevelType w:val="hybridMultilevel"/>
    <w:tmpl w:val="F3000E36"/>
    <w:lvl w:ilvl="0" w:tplc="99BC6B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D34A4"/>
    <w:multiLevelType w:val="hybridMultilevel"/>
    <w:tmpl w:val="853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96424"/>
    <w:multiLevelType w:val="hybridMultilevel"/>
    <w:tmpl w:val="80DE647C"/>
    <w:lvl w:ilvl="0" w:tplc="0178A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924E5B"/>
    <w:multiLevelType w:val="hybridMultilevel"/>
    <w:tmpl w:val="8F5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B7DB9"/>
    <w:multiLevelType w:val="hybridMultilevel"/>
    <w:tmpl w:val="C860A7D8"/>
    <w:lvl w:ilvl="0" w:tplc="85848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522FAE"/>
    <w:multiLevelType w:val="hybridMultilevel"/>
    <w:tmpl w:val="D6AE765A"/>
    <w:lvl w:ilvl="0" w:tplc="CC58DD56">
      <w:start w:val="3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D06C5"/>
    <w:multiLevelType w:val="hybridMultilevel"/>
    <w:tmpl w:val="B0E24E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933D8"/>
    <w:multiLevelType w:val="hybridMultilevel"/>
    <w:tmpl w:val="C51C5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06A62"/>
    <w:multiLevelType w:val="hybridMultilevel"/>
    <w:tmpl w:val="DAF4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21A03"/>
    <w:multiLevelType w:val="hybridMultilevel"/>
    <w:tmpl w:val="2F3C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8400A"/>
    <w:multiLevelType w:val="hybridMultilevel"/>
    <w:tmpl w:val="47D40666"/>
    <w:lvl w:ilvl="0" w:tplc="678A8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D594F"/>
    <w:multiLevelType w:val="hybridMultilevel"/>
    <w:tmpl w:val="D68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00209"/>
    <w:multiLevelType w:val="hybridMultilevel"/>
    <w:tmpl w:val="2B20C1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7"/>
  </w:num>
  <w:num w:numId="5">
    <w:abstractNumId w:val="19"/>
  </w:num>
  <w:num w:numId="6">
    <w:abstractNumId w:val="8"/>
  </w:num>
  <w:num w:numId="7">
    <w:abstractNumId w:val="20"/>
  </w:num>
  <w:num w:numId="8">
    <w:abstractNumId w:val="12"/>
  </w:num>
  <w:num w:numId="9">
    <w:abstractNumId w:val="21"/>
  </w:num>
  <w:num w:numId="10">
    <w:abstractNumId w:val="9"/>
  </w:num>
  <w:num w:numId="11">
    <w:abstractNumId w:val="15"/>
  </w:num>
  <w:num w:numId="12">
    <w:abstractNumId w:val="29"/>
  </w:num>
  <w:num w:numId="13">
    <w:abstractNumId w:val="6"/>
  </w:num>
  <w:num w:numId="14">
    <w:abstractNumId w:val="0"/>
  </w:num>
  <w:num w:numId="15">
    <w:abstractNumId w:val="23"/>
  </w:num>
  <w:num w:numId="16">
    <w:abstractNumId w:val="18"/>
  </w:num>
  <w:num w:numId="17">
    <w:abstractNumId w:val="22"/>
  </w:num>
  <w:num w:numId="18">
    <w:abstractNumId w:val="27"/>
  </w:num>
  <w:num w:numId="19">
    <w:abstractNumId w:val="16"/>
  </w:num>
  <w:num w:numId="20">
    <w:abstractNumId w:val="24"/>
  </w:num>
  <w:num w:numId="21">
    <w:abstractNumId w:val="1"/>
  </w:num>
  <w:num w:numId="22">
    <w:abstractNumId w:val="3"/>
  </w:num>
  <w:num w:numId="23">
    <w:abstractNumId w:val="13"/>
  </w:num>
  <w:num w:numId="24">
    <w:abstractNumId w:val="25"/>
  </w:num>
  <w:num w:numId="25">
    <w:abstractNumId w:val="2"/>
  </w:num>
  <w:num w:numId="26">
    <w:abstractNumId w:val="31"/>
  </w:num>
  <w:num w:numId="27">
    <w:abstractNumId w:val="11"/>
  </w:num>
  <w:num w:numId="28">
    <w:abstractNumId w:val="26"/>
  </w:num>
  <w:num w:numId="29">
    <w:abstractNumId w:val="28"/>
  </w:num>
  <w:num w:numId="30">
    <w:abstractNumId w:val="30"/>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32"/>
    <w:rsid w:val="00007C65"/>
    <w:rsid w:val="0001031E"/>
    <w:rsid w:val="00012928"/>
    <w:rsid w:val="00016568"/>
    <w:rsid w:val="00017175"/>
    <w:rsid w:val="00017A81"/>
    <w:rsid w:val="00023276"/>
    <w:rsid w:val="000242EB"/>
    <w:rsid w:val="00026141"/>
    <w:rsid w:val="00027A55"/>
    <w:rsid w:val="0003061B"/>
    <w:rsid w:val="00031FEC"/>
    <w:rsid w:val="00034782"/>
    <w:rsid w:val="000378F0"/>
    <w:rsid w:val="000379FC"/>
    <w:rsid w:val="000414D1"/>
    <w:rsid w:val="00052BFB"/>
    <w:rsid w:val="00054377"/>
    <w:rsid w:val="00066E8A"/>
    <w:rsid w:val="00066F85"/>
    <w:rsid w:val="00073F08"/>
    <w:rsid w:val="000749C2"/>
    <w:rsid w:val="00075921"/>
    <w:rsid w:val="000770C1"/>
    <w:rsid w:val="000808DA"/>
    <w:rsid w:val="00081315"/>
    <w:rsid w:val="00081629"/>
    <w:rsid w:val="000832C2"/>
    <w:rsid w:val="00083A79"/>
    <w:rsid w:val="0009326C"/>
    <w:rsid w:val="00096CE4"/>
    <w:rsid w:val="000A0C58"/>
    <w:rsid w:val="000A60F3"/>
    <w:rsid w:val="000A6A04"/>
    <w:rsid w:val="000B43C8"/>
    <w:rsid w:val="000C19D1"/>
    <w:rsid w:val="000C40F3"/>
    <w:rsid w:val="000C538C"/>
    <w:rsid w:val="000D2C12"/>
    <w:rsid w:val="000D31B3"/>
    <w:rsid w:val="000D4543"/>
    <w:rsid w:val="000E0868"/>
    <w:rsid w:val="000E434B"/>
    <w:rsid w:val="000E5A87"/>
    <w:rsid w:val="000F464E"/>
    <w:rsid w:val="001019D5"/>
    <w:rsid w:val="00103959"/>
    <w:rsid w:val="001112F7"/>
    <w:rsid w:val="001212F7"/>
    <w:rsid w:val="00122132"/>
    <w:rsid w:val="00123243"/>
    <w:rsid w:val="00131643"/>
    <w:rsid w:val="00136B57"/>
    <w:rsid w:val="00136C8E"/>
    <w:rsid w:val="00137071"/>
    <w:rsid w:val="00137802"/>
    <w:rsid w:val="00140198"/>
    <w:rsid w:val="001404B3"/>
    <w:rsid w:val="00142074"/>
    <w:rsid w:val="00146F10"/>
    <w:rsid w:val="001508E8"/>
    <w:rsid w:val="00155CE0"/>
    <w:rsid w:val="0015694F"/>
    <w:rsid w:val="00161981"/>
    <w:rsid w:val="00162337"/>
    <w:rsid w:val="00162831"/>
    <w:rsid w:val="001676AD"/>
    <w:rsid w:val="00170CDF"/>
    <w:rsid w:val="00172561"/>
    <w:rsid w:val="00174566"/>
    <w:rsid w:val="00177002"/>
    <w:rsid w:val="00182CBE"/>
    <w:rsid w:val="00183066"/>
    <w:rsid w:val="001920D2"/>
    <w:rsid w:val="00194E43"/>
    <w:rsid w:val="001960B8"/>
    <w:rsid w:val="001A31D7"/>
    <w:rsid w:val="001A4095"/>
    <w:rsid w:val="001A7C28"/>
    <w:rsid w:val="001B4948"/>
    <w:rsid w:val="001B545F"/>
    <w:rsid w:val="001B6E53"/>
    <w:rsid w:val="001C24D5"/>
    <w:rsid w:val="001C7592"/>
    <w:rsid w:val="001C7821"/>
    <w:rsid w:val="001D016F"/>
    <w:rsid w:val="001D3C30"/>
    <w:rsid w:val="001E0923"/>
    <w:rsid w:val="001E7C37"/>
    <w:rsid w:val="001E7F67"/>
    <w:rsid w:val="001F0472"/>
    <w:rsid w:val="001F04D1"/>
    <w:rsid w:val="001F0805"/>
    <w:rsid w:val="001F095C"/>
    <w:rsid w:val="001F1557"/>
    <w:rsid w:val="001F3C39"/>
    <w:rsid w:val="001F7268"/>
    <w:rsid w:val="00200D87"/>
    <w:rsid w:val="00203163"/>
    <w:rsid w:val="00203B4A"/>
    <w:rsid w:val="0021138B"/>
    <w:rsid w:val="00212591"/>
    <w:rsid w:val="0021732C"/>
    <w:rsid w:val="00217DA9"/>
    <w:rsid w:val="00222140"/>
    <w:rsid w:val="00226120"/>
    <w:rsid w:val="00227CEB"/>
    <w:rsid w:val="00231757"/>
    <w:rsid w:val="002324AE"/>
    <w:rsid w:val="00240DEE"/>
    <w:rsid w:val="00242ED1"/>
    <w:rsid w:val="00255889"/>
    <w:rsid w:val="00256A6D"/>
    <w:rsid w:val="00256D72"/>
    <w:rsid w:val="00257220"/>
    <w:rsid w:val="00260CC3"/>
    <w:rsid w:val="0026413C"/>
    <w:rsid w:val="00266B05"/>
    <w:rsid w:val="0026734F"/>
    <w:rsid w:val="00270D3F"/>
    <w:rsid w:val="0027467D"/>
    <w:rsid w:val="00277C07"/>
    <w:rsid w:val="002819B5"/>
    <w:rsid w:val="00282227"/>
    <w:rsid w:val="002906E2"/>
    <w:rsid w:val="00291409"/>
    <w:rsid w:val="00295BA0"/>
    <w:rsid w:val="00297128"/>
    <w:rsid w:val="002A009F"/>
    <w:rsid w:val="002A2DD9"/>
    <w:rsid w:val="002A512C"/>
    <w:rsid w:val="002B1609"/>
    <w:rsid w:val="002B4E75"/>
    <w:rsid w:val="002B6D14"/>
    <w:rsid w:val="002B7502"/>
    <w:rsid w:val="002C61B0"/>
    <w:rsid w:val="002C7AE5"/>
    <w:rsid w:val="002D0707"/>
    <w:rsid w:val="002D33F3"/>
    <w:rsid w:val="002D541E"/>
    <w:rsid w:val="002D7AD2"/>
    <w:rsid w:val="002F48D8"/>
    <w:rsid w:val="002F523D"/>
    <w:rsid w:val="00303155"/>
    <w:rsid w:val="0030434F"/>
    <w:rsid w:val="003044D2"/>
    <w:rsid w:val="00304737"/>
    <w:rsid w:val="00305B35"/>
    <w:rsid w:val="003141B0"/>
    <w:rsid w:val="00314228"/>
    <w:rsid w:val="00315129"/>
    <w:rsid w:val="00316478"/>
    <w:rsid w:val="0032377A"/>
    <w:rsid w:val="003265CD"/>
    <w:rsid w:val="00326A9C"/>
    <w:rsid w:val="00330236"/>
    <w:rsid w:val="00330E45"/>
    <w:rsid w:val="00333245"/>
    <w:rsid w:val="00337CA3"/>
    <w:rsid w:val="00340833"/>
    <w:rsid w:val="00343CC5"/>
    <w:rsid w:val="00344C13"/>
    <w:rsid w:val="003459B2"/>
    <w:rsid w:val="00347066"/>
    <w:rsid w:val="00347F62"/>
    <w:rsid w:val="003553D4"/>
    <w:rsid w:val="00361380"/>
    <w:rsid w:val="003613C0"/>
    <w:rsid w:val="00361C04"/>
    <w:rsid w:val="00364C21"/>
    <w:rsid w:val="00365312"/>
    <w:rsid w:val="00370A3C"/>
    <w:rsid w:val="003719C5"/>
    <w:rsid w:val="00373A98"/>
    <w:rsid w:val="00373E9A"/>
    <w:rsid w:val="00376A4B"/>
    <w:rsid w:val="0038347E"/>
    <w:rsid w:val="00384F10"/>
    <w:rsid w:val="003902D0"/>
    <w:rsid w:val="00390938"/>
    <w:rsid w:val="0039665B"/>
    <w:rsid w:val="003A723E"/>
    <w:rsid w:val="003B1AFB"/>
    <w:rsid w:val="003B1E6B"/>
    <w:rsid w:val="003B2506"/>
    <w:rsid w:val="003B373D"/>
    <w:rsid w:val="003B5C97"/>
    <w:rsid w:val="003B6463"/>
    <w:rsid w:val="003C612C"/>
    <w:rsid w:val="003D0FB0"/>
    <w:rsid w:val="003D45D4"/>
    <w:rsid w:val="003D46C2"/>
    <w:rsid w:val="003D736E"/>
    <w:rsid w:val="003F5F89"/>
    <w:rsid w:val="00400944"/>
    <w:rsid w:val="004022DD"/>
    <w:rsid w:val="004065A2"/>
    <w:rsid w:val="00407B7E"/>
    <w:rsid w:val="004150A5"/>
    <w:rsid w:val="0041657F"/>
    <w:rsid w:val="00420B9C"/>
    <w:rsid w:val="00423332"/>
    <w:rsid w:val="00425C64"/>
    <w:rsid w:val="00432943"/>
    <w:rsid w:val="00434360"/>
    <w:rsid w:val="0044463C"/>
    <w:rsid w:val="00445758"/>
    <w:rsid w:val="00447A1A"/>
    <w:rsid w:val="00447F46"/>
    <w:rsid w:val="00457BB6"/>
    <w:rsid w:val="00460869"/>
    <w:rsid w:val="0046146F"/>
    <w:rsid w:val="00462303"/>
    <w:rsid w:val="0046363F"/>
    <w:rsid w:val="00467DE6"/>
    <w:rsid w:val="0047635A"/>
    <w:rsid w:val="00483268"/>
    <w:rsid w:val="0048767E"/>
    <w:rsid w:val="0049077A"/>
    <w:rsid w:val="0049319F"/>
    <w:rsid w:val="00494C0F"/>
    <w:rsid w:val="00495BFC"/>
    <w:rsid w:val="004A395A"/>
    <w:rsid w:val="004A3A05"/>
    <w:rsid w:val="004A6C96"/>
    <w:rsid w:val="004B0BCB"/>
    <w:rsid w:val="004B33A8"/>
    <w:rsid w:val="004B4AC3"/>
    <w:rsid w:val="004B6103"/>
    <w:rsid w:val="004D4988"/>
    <w:rsid w:val="004E59C0"/>
    <w:rsid w:val="004F1BD7"/>
    <w:rsid w:val="004F3C65"/>
    <w:rsid w:val="004F75FC"/>
    <w:rsid w:val="00502312"/>
    <w:rsid w:val="00506361"/>
    <w:rsid w:val="00506E47"/>
    <w:rsid w:val="00516290"/>
    <w:rsid w:val="00520EAD"/>
    <w:rsid w:val="00520F9D"/>
    <w:rsid w:val="0052139B"/>
    <w:rsid w:val="0052287A"/>
    <w:rsid w:val="00522C5B"/>
    <w:rsid w:val="005323AF"/>
    <w:rsid w:val="00532732"/>
    <w:rsid w:val="005346B8"/>
    <w:rsid w:val="0053682F"/>
    <w:rsid w:val="0054149F"/>
    <w:rsid w:val="0054165E"/>
    <w:rsid w:val="005416A5"/>
    <w:rsid w:val="00541E6D"/>
    <w:rsid w:val="005433CA"/>
    <w:rsid w:val="005452C3"/>
    <w:rsid w:val="00550A7D"/>
    <w:rsid w:val="00553A33"/>
    <w:rsid w:val="00562B26"/>
    <w:rsid w:val="005707EE"/>
    <w:rsid w:val="00572410"/>
    <w:rsid w:val="00583CC2"/>
    <w:rsid w:val="005852A1"/>
    <w:rsid w:val="005860A4"/>
    <w:rsid w:val="00592CFD"/>
    <w:rsid w:val="00597D01"/>
    <w:rsid w:val="005A3A69"/>
    <w:rsid w:val="005A3F0B"/>
    <w:rsid w:val="005A4216"/>
    <w:rsid w:val="005A4D7D"/>
    <w:rsid w:val="005A67C5"/>
    <w:rsid w:val="005B1EFF"/>
    <w:rsid w:val="005B5BFF"/>
    <w:rsid w:val="005B65BA"/>
    <w:rsid w:val="005C5FEF"/>
    <w:rsid w:val="005C7D66"/>
    <w:rsid w:val="005D2657"/>
    <w:rsid w:val="005D330D"/>
    <w:rsid w:val="005D68CE"/>
    <w:rsid w:val="005E2F3E"/>
    <w:rsid w:val="005F0A72"/>
    <w:rsid w:val="0060102F"/>
    <w:rsid w:val="00602B85"/>
    <w:rsid w:val="00610650"/>
    <w:rsid w:val="00610AFE"/>
    <w:rsid w:val="006147CD"/>
    <w:rsid w:val="0061628B"/>
    <w:rsid w:val="00621ABA"/>
    <w:rsid w:val="00621DFB"/>
    <w:rsid w:val="0062424F"/>
    <w:rsid w:val="00624DC8"/>
    <w:rsid w:val="006257DF"/>
    <w:rsid w:val="00631391"/>
    <w:rsid w:val="00632394"/>
    <w:rsid w:val="00633750"/>
    <w:rsid w:val="00634446"/>
    <w:rsid w:val="00635D54"/>
    <w:rsid w:val="00636CB3"/>
    <w:rsid w:val="00640966"/>
    <w:rsid w:val="00640A56"/>
    <w:rsid w:val="00647E8F"/>
    <w:rsid w:val="00657528"/>
    <w:rsid w:val="0066324F"/>
    <w:rsid w:val="00665845"/>
    <w:rsid w:val="00671438"/>
    <w:rsid w:val="00673159"/>
    <w:rsid w:val="00674225"/>
    <w:rsid w:val="006743C2"/>
    <w:rsid w:val="00675F4F"/>
    <w:rsid w:val="00677015"/>
    <w:rsid w:val="00681813"/>
    <w:rsid w:val="006870D8"/>
    <w:rsid w:val="0069440D"/>
    <w:rsid w:val="006946D8"/>
    <w:rsid w:val="006A5937"/>
    <w:rsid w:val="006B2163"/>
    <w:rsid w:val="006B6CFE"/>
    <w:rsid w:val="006B7504"/>
    <w:rsid w:val="006D34B5"/>
    <w:rsid w:val="006D5E29"/>
    <w:rsid w:val="006D7F11"/>
    <w:rsid w:val="006E00A1"/>
    <w:rsid w:val="006E3A0E"/>
    <w:rsid w:val="006E550D"/>
    <w:rsid w:val="006E5A20"/>
    <w:rsid w:val="006E63A4"/>
    <w:rsid w:val="006E6E3B"/>
    <w:rsid w:val="006E7AB0"/>
    <w:rsid w:val="006E7D04"/>
    <w:rsid w:val="006F32FA"/>
    <w:rsid w:val="007123DB"/>
    <w:rsid w:val="00721198"/>
    <w:rsid w:val="007234A9"/>
    <w:rsid w:val="007245B0"/>
    <w:rsid w:val="00724668"/>
    <w:rsid w:val="00724F69"/>
    <w:rsid w:val="0073231F"/>
    <w:rsid w:val="0073741F"/>
    <w:rsid w:val="00737FE1"/>
    <w:rsid w:val="007470D0"/>
    <w:rsid w:val="00764C43"/>
    <w:rsid w:val="00766182"/>
    <w:rsid w:val="007672BA"/>
    <w:rsid w:val="00767316"/>
    <w:rsid w:val="0077086D"/>
    <w:rsid w:val="00771D61"/>
    <w:rsid w:val="00775021"/>
    <w:rsid w:val="00776AB5"/>
    <w:rsid w:val="00777E93"/>
    <w:rsid w:val="00781113"/>
    <w:rsid w:val="00791309"/>
    <w:rsid w:val="00791D26"/>
    <w:rsid w:val="00793509"/>
    <w:rsid w:val="0079491F"/>
    <w:rsid w:val="007949F1"/>
    <w:rsid w:val="00796137"/>
    <w:rsid w:val="0079665B"/>
    <w:rsid w:val="007A40B3"/>
    <w:rsid w:val="007A4B4B"/>
    <w:rsid w:val="007A62A1"/>
    <w:rsid w:val="007A7076"/>
    <w:rsid w:val="007A70E3"/>
    <w:rsid w:val="007B05D9"/>
    <w:rsid w:val="007B38B2"/>
    <w:rsid w:val="007B7719"/>
    <w:rsid w:val="007C003C"/>
    <w:rsid w:val="007C127E"/>
    <w:rsid w:val="007C2DC1"/>
    <w:rsid w:val="007C457F"/>
    <w:rsid w:val="007C7FB4"/>
    <w:rsid w:val="007D2247"/>
    <w:rsid w:val="007D3E5B"/>
    <w:rsid w:val="007D43AB"/>
    <w:rsid w:val="007E34A1"/>
    <w:rsid w:val="007E39D2"/>
    <w:rsid w:val="007E5FE1"/>
    <w:rsid w:val="007E7834"/>
    <w:rsid w:val="007F678F"/>
    <w:rsid w:val="00802D6E"/>
    <w:rsid w:val="00804B26"/>
    <w:rsid w:val="00807B99"/>
    <w:rsid w:val="0081050D"/>
    <w:rsid w:val="008117B9"/>
    <w:rsid w:val="00811CF7"/>
    <w:rsid w:val="00812E9A"/>
    <w:rsid w:val="00813D30"/>
    <w:rsid w:val="00814E4F"/>
    <w:rsid w:val="00821333"/>
    <w:rsid w:val="008246CF"/>
    <w:rsid w:val="0082502C"/>
    <w:rsid w:val="008253DA"/>
    <w:rsid w:val="00825DAE"/>
    <w:rsid w:val="00826378"/>
    <w:rsid w:val="008307E0"/>
    <w:rsid w:val="00832E5C"/>
    <w:rsid w:val="008335EB"/>
    <w:rsid w:val="008339B3"/>
    <w:rsid w:val="00835CA4"/>
    <w:rsid w:val="00842B47"/>
    <w:rsid w:val="00842F4D"/>
    <w:rsid w:val="00846A57"/>
    <w:rsid w:val="0086654C"/>
    <w:rsid w:val="00880048"/>
    <w:rsid w:val="00890731"/>
    <w:rsid w:val="00891EEB"/>
    <w:rsid w:val="008A0765"/>
    <w:rsid w:val="008A5800"/>
    <w:rsid w:val="008A5FA7"/>
    <w:rsid w:val="008A73B9"/>
    <w:rsid w:val="008A7C78"/>
    <w:rsid w:val="008B01C2"/>
    <w:rsid w:val="008B20F2"/>
    <w:rsid w:val="008B2A60"/>
    <w:rsid w:val="008B5A8A"/>
    <w:rsid w:val="008C37ED"/>
    <w:rsid w:val="008C6A06"/>
    <w:rsid w:val="008D5E38"/>
    <w:rsid w:val="008D66A8"/>
    <w:rsid w:val="008E02D0"/>
    <w:rsid w:val="008E1CC8"/>
    <w:rsid w:val="008E546C"/>
    <w:rsid w:val="008F036A"/>
    <w:rsid w:val="008F1F26"/>
    <w:rsid w:val="008F3B60"/>
    <w:rsid w:val="008F6707"/>
    <w:rsid w:val="009038CD"/>
    <w:rsid w:val="009039A2"/>
    <w:rsid w:val="009052C3"/>
    <w:rsid w:val="00910292"/>
    <w:rsid w:val="00911E74"/>
    <w:rsid w:val="00913A8A"/>
    <w:rsid w:val="009175FD"/>
    <w:rsid w:val="00917CEB"/>
    <w:rsid w:val="00920109"/>
    <w:rsid w:val="00920B57"/>
    <w:rsid w:val="00922286"/>
    <w:rsid w:val="00925663"/>
    <w:rsid w:val="00927A34"/>
    <w:rsid w:val="00934793"/>
    <w:rsid w:val="0093512E"/>
    <w:rsid w:val="009354C2"/>
    <w:rsid w:val="009475B8"/>
    <w:rsid w:val="00950ACF"/>
    <w:rsid w:val="0095330A"/>
    <w:rsid w:val="009535DB"/>
    <w:rsid w:val="00953841"/>
    <w:rsid w:val="00960811"/>
    <w:rsid w:val="00963C57"/>
    <w:rsid w:val="00964563"/>
    <w:rsid w:val="00967389"/>
    <w:rsid w:val="0097211B"/>
    <w:rsid w:val="0097301C"/>
    <w:rsid w:val="00977492"/>
    <w:rsid w:val="009846DC"/>
    <w:rsid w:val="00985559"/>
    <w:rsid w:val="00987E6F"/>
    <w:rsid w:val="00990E10"/>
    <w:rsid w:val="0099201A"/>
    <w:rsid w:val="00996FC2"/>
    <w:rsid w:val="009A0772"/>
    <w:rsid w:val="009A0DA9"/>
    <w:rsid w:val="009A1314"/>
    <w:rsid w:val="009A3938"/>
    <w:rsid w:val="009A4638"/>
    <w:rsid w:val="009A64C5"/>
    <w:rsid w:val="009A6CC6"/>
    <w:rsid w:val="009A7930"/>
    <w:rsid w:val="009B1622"/>
    <w:rsid w:val="009C1A6B"/>
    <w:rsid w:val="009C2364"/>
    <w:rsid w:val="009C7298"/>
    <w:rsid w:val="009C743F"/>
    <w:rsid w:val="009E133F"/>
    <w:rsid w:val="009E3A2D"/>
    <w:rsid w:val="009F0D06"/>
    <w:rsid w:val="00A01998"/>
    <w:rsid w:val="00A02CE1"/>
    <w:rsid w:val="00A036D4"/>
    <w:rsid w:val="00A05F3A"/>
    <w:rsid w:val="00A06D38"/>
    <w:rsid w:val="00A07010"/>
    <w:rsid w:val="00A07F31"/>
    <w:rsid w:val="00A1141C"/>
    <w:rsid w:val="00A1545F"/>
    <w:rsid w:val="00A204B8"/>
    <w:rsid w:val="00A27C9F"/>
    <w:rsid w:val="00A41BC8"/>
    <w:rsid w:val="00A431E0"/>
    <w:rsid w:val="00A46261"/>
    <w:rsid w:val="00A54077"/>
    <w:rsid w:val="00A553F0"/>
    <w:rsid w:val="00A55615"/>
    <w:rsid w:val="00A559AF"/>
    <w:rsid w:val="00A5705F"/>
    <w:rsid w:val="00A573C2"/>
    <w:rsid w:val="00A57ADB"/>
    <w:rsid w:val="00A619C0"/>
    <w:rsid w:val="00A66816"/>
    <w:rsid w:val="00A66918"/>
    <w:rsid w:val="00A67F95"/>
    <w:rsid w:val="00A700AB"/>
    <w:rsid w:val="00A7078A"/>
    <w:rsid w:val="00A72945"/>
    <w:rsid w:val="00A73E7E"/>
    <w:rsid w:val="00A7423A"/>
    <w:rsid w:val="00A74516"/>
    <w:rsid w:val="00A81FB1"/>
    <w:rsid w:val="00A9275F"/>
    <w:rsid w:val="00A93723"/>
    <w:rsid w:val="00A94A56"/>
    <w:rsid w:val="00AA0E8E"/>
    <w:rsid w:val="00AA3FA3"/>
    <w:rsid w:val="00AA4816"/>
    <w:rsid w:val="00AA585E"/>
    <w:rsid w:val="00AA7FB3"/>
    <w:rsid w:val="00AC5654"/>
    <w:rsid w:val="00AC610F"/>
    <w:rsid w:val="00AC69F0"/>
    <w:rsid w:val="00AD41BC"/>
    <w:rsid w:val="00AD78C2"/>
    <w:rsid w:val="00AE0E83"/>
    <w:rsid w:val="00AE1B2D"/>
    <w:rsid w:val="00AE51AE"/>
    <w:rsid w:val="00AF0F4B"/>
    <w:rsid w:val="00AF3B57"/>
    <w:rsid w:val="00AF6270"/>
    <w:rsid w:val="00B0088D"/>
    <w:rsid w:val="00B02811"/>
    <w:rsid w:val="00B0547E"/>
    <w:rsid w:val="00B06B60"/>
    <w:rsid w:val="00B149A8"/>
    <w:rsid w:val="00B2166A"/>
    <w:rsid w:val="00B21DA4"/>
    <w:rsid w:val="00B225E9"/>
    <w:rsid w:val="00B268E6"/>
    <w:rsid w:val="00B279D9"/>
    <w:rsid w:val="00B3037C"/>
    <w:rsid w:val="00B336C7"/>
    <w:rsid w:val="00B423AC"/>
    <w:rsid w:val="00B45671"/>
    <w:rsid w:val="00B46395"/>
    <w:rsid w:val="00B61DD0"/>
    <w:rsid w:val="00B669E4"/>
    <w:rsid w:val="00B671FD"/>
    <w:rsid w:val="00B7249D"/>
    <w:rsid w:val="00B85D42"/>
    <w:rsid w:val="00B87584"/>
    <w:rsid w:val="00B966B7"/>
    <w:rsid w:val="00B96C9F"/>
    <w:rsid w:val="00BA0A09"/>
    <w:rsid w:val="00BA30CC"/>
    <w:rsid w:val="00BA381D"/>
    <w:rsid w:val="00BA4590"/>
    <w:rsid w:val="00BA72CE"/>
    <w:rsid w:val="00BA7DF7"/>
    <w:rsid w:val="00BB221D"/>
    <w:rsid w:val="00BB36D5"/>
    <w:rsid w:val="00BB3EA3"/>
    <w:rsid w:val="00BB5777"/>
    <w:rsid w:val="00BB5CED"/>
    <w:rsid w:val="00BB6743"/>
    <w:rsid w:val="00BB7841"/>
    <w:rsid w:val="00BC656C"/>
    <w:rsid w:val="00BC7BA6"/>
    <w:rsid w:val="00BD0D4A"/>
    <w:rsid w:val="00BD2791"/>
    <w:rsid w:val="00BD5520"/>
    <w:rsid w:val="00BE6EA6"/>
    <w:rsid w:val="00BF0749"/>
    <w:rsid w:val="00BF3B45"/>
    <w:rsid w:val="00BF68D9"/>
    <w:rsid w:val="00BF7935"/>
    <w:rsid w:val="00C05E79"/>
    <w:rsid w:val="00C11A9C"/>
    <w:rsid w:val="00C14E1B"/>
    <w:rsid w:val="00C15B66"/>
    <w:rsid w:val="00C167B4"/>
    <w:rsid w:val="00C2102C"/>
    <w:rsid w:val="00C217A5"/>
    <w:rsid w:val="00C24040"/>
    <w:rsid w:val="00C27638"/>
    <w:rsid w:val="00C3100D"/>
    <w:rsid w:val="00C34D6D"/>
    <w:rsid w:val="00C37687"/>
    <w:rsid w:val="00C4173B"/>
    <w:rsid w:val="00C4233C"/>
    <w:rsid w:val="00C449A1"/>
    <w:rsid w:val="00C46735"/>
    <w:rsid w:val="00C513F9"/>
    <w:rsid w:val="00C5205C"/>
    <w:rsid w:val="00C54EDC"/>
    <w:rsid w:val="00C60672"/>
    <w:rsid w:val="00C60742"/>
    <w:rsid w:val="00C64F50"/>
    <w:rsid w:val="00C661BE"/>
    <w:rsid w:val="00C6740F"/>
    <w:rsid w:val="00C6746B"/>
    <w:rsid w:val="00C8127B"/>
    <w:rsid w:val="00C82512"/>
    <w:rsid w:val="00C833D8"/>
    <w:rsid w:val="00C84848"/>
    <w:rsid w:val="00C873DB"/>
    <w:rsid w:val="00C92248"/>
    <w:rsid w:val="00CA4CE1"/>
    <w:rsid w:val="00CA6222"/>
    <w:rsid w:val="00CB647C"/>
    <w:rsid w:val="00CC340D"/>
    <w:rsid w:val="00CC421E"/>
    <w:rsid w:val="00CC42EA"/>
    <w:rsid w:val="00CC6771"/>
    <w:rsid w:val="00CD63AB"/>
    <w:rsid w:val="00CE1568"/>
    <w:rsid w:val="00CF2D76"/>
    <w:rsid w:val="00CF33D4"/>
    <w:rsid w:val="00CF6C0A"/>
    <w:rsid w:val="00D01507"/>
    <w:rsid w:val="00D1193E"/>
    <w:rsid w:val="00D13D45"/>
    <w:rsid w:val="00D14254"/>
    <w:rsid w:val="00D16BD7"/>
    <w:rsid w:val="00D176D9"/>
    <w:rsid w:val="00D231DC"/>
    <w:rsid w:val="00D2453C"/>
    <w:rsid w:val="00D305B5"/>
    <w:rsid w:val="00D32519"/>
    <w:rsid w:val="00D3395A"/>
    <w:rsid w:val="00D33AAD"/>
    <w:rsid w:val="00D33FC9"/>
    <w:rsid w:val="00D3709C"/>
    <w:rsid w:val="00D4265B"/>
    <w:rsid w:val="00D460B3"/>
    <w:rsid w:val="00D47844"/>
    <w:rsid w:val="00D479D4"/>
    <w:rsid w:val="00D50938"/>
    <w:rsid w:val="00D518C3"/>
    <w:rsid w:val="00D55B61"/>
    <w:rsid w:val="00D60020"/>
    <w:rsid w:val="00D61D36"/>
    <w:rsid w:val="00D62170"/>
    <w:rsid w:val="00D63A1E"/>
    <w:rsid w:val="00D65D07"/>
    <w:rsid w:val="00D678D0"/>
    <w:rsid w:val="00D73A90"/>
    <w:rsid w:val="00D742D8"/>
    <w:rsid w:val="00D77F23"/>
    <w:rsid w:val="00D81139"/>
    <w:rsid w:val="00D817C4"/>
    <w:rsid w:val="00D830F4"/>
    <w:rsid w:val="00D903A8"/>
    <w:rsid w:val="00D97BD6"/>
    <w:rsid w:val="00D97E40"/>
    <w:rsid w:val="00DB1089"/>
    <w:rsid w:val="00DB4FA4"/>
    <w:rsid w:val="00DB6BDD"/>
    <w:rsid w:val="00DB726A"/>
    <w:rsid w:val="00DB7674"/>
    <w:rsid w:val="00DC218B"/>
    <w:rsid w:val="00DC51D1"/>
    <w:rsid w:val="00DC7ED5"/>
    <w:rsid w:val="00DD6E4F"/>
    <w:rsid w:val="00DE3546"/>
    <w:rsid w:val="00DE3993"/>
    <w:rsid w:val="00DE45E6"/>
    <w:rsid w:val="00DE7FFE"/>
    <w:rsid w:val="00DF06BD"/>
    <w:rsid w:val="00DF3CA7"/>
    <w:rsid w:val="00DF4F90"/>
    <w:rsid w:val="00DF73AF"/>
    <w:rsid w:val="00E00057"/>
    <w:rsid w:val="00E0076E"/>
    <w:rsid w:val="00E01864"/>
    <w:rsid w:val="00E02C04"/>
    <w:rsid w:val="00E04E29"/>
    <w:rsid w:val="00E06801"/>
    <w:rsid w:val="00E167EE"/>
    <w:rsid w:val="00E1729D"/>
    <w:rsid w:val="00E2182D"/>
    <w:rsid w:val="00E22478"/>
    <w:rsid w:val="00E3032B"/>
    <w:rsid w:val="00E31508"/>
    <w:rsid w:val="00E33D8C"/>
    <w:rsid w:val="00E37EB2"/>
    <w:rsid w:val="00E40E85"/>
    <w:rsid w:val="00E421C4"/>
    <w:rsid w:val="00E536D1"/>
    <w:rsid w:val="00E54395"/>
    <w:rsid w:val="00E56ABE"/>
    <w:rsid w:val="00E56ED0"/>
    <w:rsid w:val="00E60FCA"/>
    <w:rsid w:val="00E62FDA"/>
    <w:rsid w:val="00E63A81"/>
    <w:rsid w:val="00E649EA"/>
    <w:rsid w:val="00E72922"/>
    <w:rsid w:val="00E76FCB"/>
    <w:rsid w:val="00E805A2"/>
    <w:rsid w:val="00E87C1D"/>
    <w:rsid w:val="00E90880"/>
    <w:rsid w:val="00E931B7"/>
    <w:rsid w:val="00E94515"/>
    <w:rsid w:val="00E95D17"/>
    <w:rsid w:val="00E966BA"/>
    <w:rsid w:val="00EA4E0C"/>
    <w:rsid w:val="00EA6BC4"/>
    <w:rsid w:val="00EA7603"/>
    <w:rsid w:val="00EB7699"/>
    <w:rsid w:val="00EC2D42"/>
    <w:rsid w:val="00EC6A4F"/>
    <w:rsid w:val="00ED1F3D"/>
    <w:rsid w:val="00ED2BF3"/>
    <w:rsid w:val="00ED5E32"/>
    <w:rsid w:val="00ED656D"/>
    <w:rsid w:val="00EE3939"/>
    <w:rsid w:val="00EE6401"/>
    <w:rsid w:val="00EF1351"/>
    <w:rsid w:val="00EF46A7"/>
    <w:rsid w:val="00F02A70"/>
    <w:rsid w:val="00F12525"/>
    <w:rsid w:val="00F138F5"/>
    <w:rsid w:val="00F173AE"/>
    <w:rsid w:val="00F2200F"/>
    <w:rsid w:val="00F22A64"/>
    <w:rsid w:val="00F23F06"/>
    <w:rsid w:val="00F2679C"/>
    <w:rsid w:val="00F31A08"/>
    <w:rsid w:val="00F32EA1"/>
    <w:rsid w:val="00F3360F"/>
    <w:rsid w:val="00F50782"/>
    <w:rsid w:val="00F5181C"/>
    <w:rsid w:val="00F5294C"/>
    <w:rsid w:val="00F57A02"/>
    <w:rsid w:val="00F6140E"/>
    <w:rsid w:val="00F623BF"/>
    <w:rsid w:val="00F62AAE"/>
    <w:rsid w:val="00F674C9"/>
    <w:rsid w:val="00F71EE3"/>
    <w:rsid w:val="00F82522"/>
    <w:rsid w:val="00F8468E"/>
    <w:rsid w:val="00F85E3D"/>
    <w:rsid w:val="00F86E10"/>
    <w:rsid w:val="00F9121D"/>
    <w:rsid w:val="00F92FAB"/>
    <w:rsid w:val="00F9799F"/>
    <w:rsid w:val="00FA1300"/>
    <w:rsid w:val="00FB0F1F"/>
    <w:rsid w:val="00FC1151"/>
    <w:rsid w:val="00FC43E3"/>
    <w:rsid w:val="00FC5A2F"/>
    <w:rsid w:val="00FD0B94"/>
    <w:rsid w:val="00FD68A7"/>
    <w:rsid w:val="00FE15A9"/>
    <w:rsid w:val="00FE6B14"/>
    <w:rsid w:val="00FF04F4"/>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AE4889-580A-481A-8258-4163E768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0F"/>
    <w:rPr>
      <w:rFonts w:ascii="Segoe UI" w:hAnsi="Segoe UI" w:cs="Segoe UI"/>
      <w:sz w:val="18"/>
      <w:szCs w:val="18"/>
    </w:rPr>
  </w:style>
  <w:style w:type="paragraph" w:styleId="Header">
    <w:name w:val="header"/>
    <w:basedOn w:val="Normal"/>
    <w:link w:val="HeaderChar"/>
    <w:uiPriority w:val="99"/>
    <w:unhideWhenUsed/>
    <w:rsid w:val="00DB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26A"/>
  </w:style>
  <w:style w:type="paragraph" w:styleId="Footer">
    <w:name w:val="footer"/>
    <w:basedOn w:val="Normal"/>
    <w:link w:val="FooterChar"/>
    <w:uiPriority w:val="99"/>
    <w:unhideWhenUsed/>
    <w:rsid w:val="00DB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26A"/>
  </w:style>
  <w:style w:type="paragraph" w:customStyle="1" w:styleId="Default">
    <w:name w:val="Default"/>
    <w:rsid w:val="00347F6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70E3"/>
    <w:rPr>
      <w:color w:val="0000FF" w:themeColor="hyperlink"/>
      <w:u w:val="single"/>
    </w:rPr>
  </w:style>
  <w:style w:type="character" w:customStyle="1" w:styleId="UnresolvedMention1">
    <w:name w:val="Unresolved Mention1"/>
    <w:basedOn w:val="DefaultParagraphFont"/>
    <w:uiPriority w:val="99"/>
    <w:semiHidden/>
    <w:unhideWhenUsed/>
    <w:rsid w:val="007A70E3"/>
    <w:rPr>
      <w:color w:val="808080"/>
      <w:shd w:val="clear" w:color="auto" w:fill="E6E6E6"/>
    </w:rPr>
  </w:style>
  <w:style w:type="table" w:styleId="TableGrid">
    <w:name w:val="Table Grid"/>
    <w:basedOn w:val="TableNormal"/>
    <w:uiPriority w:val="59"/>
    <w:rsid w:val="003B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78A"/>
    <w:pPr>
      <w:widowControl w:val="0"/>
      <w:spacing w:after="0" w:line="240" w:lineRule="auto"/>
    </w:pPr>
  </w:style>
  <w:style w:type="paragraph" w:styleId="BodyText">
    <w:name w:val="Body Text"/>
    <w:basedOn w:val="Normal"/>
    <w:link w:val="BodyTextChar"/>
    <w:uiPriority w:val="1"/>
    <w:qFormat/>
    <w:rsid w:val="009052C3"/>
    <w:pPr>
      <w:widowControl w:val="0"/>
      <w:spacing w:after="0" w:line="240" w:lineRule="auto"/>
      <w:ind w:left="143"/>
    </w:pPr>
    <w:rPr>
      <w:rFonts w:ascii="Arial" w:eastAsia="Arial" w:hAnsi="Arial"/>
      <w:sz w:val="20"/>
      <w:szCs w:val="20"/>
    </w:rPr>
  </w:style>
  <w:style w:type="character" w:customStyle="1" w:styleId="BodyTextChar">
    <w:name w:val="Body Text Char"/>
    <w:basedOn w:val="DefaultParagraphFont"/>
    <w:link w:val="BodyText"/>
    <w:uiPriority w:val="1"/>
    <w:rsid w:val="009052C3"/>
    <w:rPr>
      <w:rFonts w:ascii="Arial" w:eastAsia="Arial" w:hAnsi="Arial"/>
      <w:sz w:val="20"/>
      <w:szCs w:val="20"/>
    </w:rPr>
  </w:style>
  <w:style w:type="table" w:customStyle="1" w:styleId="TableGrid1">
    <w:name w:val="Table Grid1"/>
    <w:basedOn w:val="TableNormal"/>
    <w:next w:val="TableGrid"/>
    <w:uiPriority w:val="59"/>
    <w:rsid w:val="005B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52A1"/>
    <w:pPr>
      <w:spacing w:after="0" w:line="240" w:lineRule="auto"/>
    </w:pPr>
  </w:style>
  <w:style w:type="character" w:styleId="CommentReference">
    <w:name w:val="annotation reference"/>
    <w:basedOn w:val="DefaultParagraphFont"/>
    <w:uiPriority w:val="99"/>
    <w:semiHidden/>
    <w:unhideWhenUsed/>
    <w:rsid w:val="00240DEE"/>
    <w:rPr>
      <w:sz w:val="16"/>
      <w:szCs w:val="16"/>
    </w:rPr>
  </w:style>
  <w:style w:type="paragraph" w:styleId="CommentText">
    <w:name w:val="annotation text"/>
    <w:basedOn w:val="Normal"/>
    <w:link w:val="CommentTextChar"/>
    <w:uiPriority w:val="99"/>
    <w:unhideWhenUsed/>
    <w:rsid w:val="00240DEE"/>
    <w:pPr>
      <w:spacing w:line="240" w:lineRule="auto"/>
    </w:pPr>
    <w:rPr>
      <w:sz w:val="20"/>
      <w:szCs w:val="20"/>
    </w:rPr>
  </w:style>
  <w:style w:type="character" w:customStyle="1" w:styleId="CommentTextChar">
    <w:name w:val="Comment Text Char"/>
    <w:basedOn w:val="DefaultParagraphFont"/>
    <w:link w:val="CommentText"/>
    <w:uiPriority w:val="99"/>
    <w:rsid w:val="00240DEE"/>
    <w:rPr>
      <w:sz w:val="20"/>
      <w:szCs w:val="20"/>
    </w:rPr>
  </w:style>
  <w:style w:type="paragraph" w:styleId="CommentSubject">
    <w:name w:val="annotation subject"/>
    <w:basedOn w:val="CommentText"/>
    <w:next w:val="CommentText"/>
    <w:link w:val="CommentSubjectChar"/>
    <w:uiPriority w:val="99"/>
    <w:semiHidden/>
    <w:unhideWhenUsed/>
    <w:rsid w:val="00240DEE"/>
    <w:rPr>
      <w:b/>
      <w:bCs/>
    </w:rPr>
  </w:style>
  <w:style w:type="character" w:customStyle="1" w:styleId="CommentSubjectChar">
    <w:name w:val="Comment Subject Char"/>
    <w:basedOn w:val="CommentTextChar"/>
    <w:link w:val="CommentSubject"/>
    <w:uiPriority w:val="99"/>
    <w:semiHidden/>
    <w:rsid w:val="00240DEE"/>
    <w:rPr>
      <w:b/>
      <w:bCs/>
      <w:sz w:val="20"/>
      <w:szCs w:val="20"/>
    </w:rPr>
  </w:style>
  <w:style w:type="paragraph" w:styleId="Revision">
    <w:name w:val="Revision"/>
    <w:hidden/>
    <w:uiPriority w:val="99"/>
    <w:semiHidden/>
    <w:rsid w:val="00240DEE"/>
    <w:pPr>
      <w:spacing w:after="0" w:line="240" w:lineRule="auto"/>
    </w:pPr>
  </w:style>
  <w:style w:type="paragraph" w:styleId="PlainText">
    <w:name w:val="Plain Text"/>
    <w:basedOn w:val="Normal"/>
    <w:link w:val="PlainTextChar"/>
    <w:uiPriority w:val="99"/>
    <w:unhideWhenUsed/>
    <w:rsid w:val="00D479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79D4"/>
    <w:rPr>
      <w:rFonts w:ascii="Calibri" w:hAnsi="Calibri"/>
      <w:szCs w:val="21"/>
    </w:rPr>
  </w:style>
  <w:style w:type="paragraph" w:styleId="NormalWeb">
    <w:name w:val="Normal (Web)"/>
    <w:basedOn w:val="Normal"/>
    <w:uiPriority w:val="99"/>
    <w:semiHidden/>
    <w:unhideWhenUsed/>
    <w:rsid w:val="00E04E29"/>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A06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3329">
      <w:bodyDiv w:val="1"/>
      <w:marLeft w:val="0"/>
      <w:marRight w:val="0"/>
      <w:marTop w:val="0"/>
      <w:marBottom w:val="0"/>
      <w:divBdr>
        <w:top w:val="none" w:sz="0" w:space="0" w:color="auto"/>
        <w:left w:val="none" w:sz="0" w:space="0" w:color="auto"/>
        <w:bottom w:val="none" w:sz="0" w:space="0" w:color="auto"/>
        <w:right w:val="none" w:sz="0" w:space="0" w:color="auto"/>
      </w:divBdr>
    </w:div>
    <w:div w:id="315577918">
      <w:bodyDiv w:val="1"/>
      <w:marLeft w:val="0"/>
      <w:marRight w:val="0"/>
      <w:marTop w:val="0"/>
      <w:marBottom w:val="0"/>
      <w:divBdr>
        <w:top w:val="none" w:sz="0" w:space="0" w:color="auto"/>
        <w:left w:val="none" w:sz="0" w:space="0" w:color="auto"/>
        <w:bottom w:val="none" w:sz="0" w:space="0" w:color="auto"/>
        <w:right w:val="none" w:sz="0" w:space="0" w:color="auto"/>
      </w:divBdr>
    </w:div>
    <w:div w:id="803890986">
      <w:bodyDiv w:val="1"/>
      <w:marLeft w:val="0"/>
      <w:marRight w:val="0"/>
      <w:marTop w:val="0"/>
      <w:marBottom w:val="0"/>
      <w:divBdr>
        <w:top w:val="none" w:sz="0" w:space="0" w:color="auto"/>
        <w:left w:val="none" w:sz="0" w:space="0" w:color="auto"/>
        <w:bottom w:val="none" w:sz="0" w:space="0" w:color="auto"/>
        <w:right w:val="none" w:sz="0" w:space="0" w:color="auto"/>
      </w:divBdr>
    </w:div>
    <w:div w:id="985625770">
      <w:bodyDiv w:val="1"/>
      <w:marLeft w:val="0"/>
      <w:marRight w:val="0"/>
      <w:marTop w:val="0"/>
      <w:marBottom w:val="0"/>
      <w:divBdr>
        <w:top w:val="none" w:sz="0" w:space="0" w:color="auto"/>
        <w:left w:val="none" w:sz="0" w:space="0" w:color="auto"/>
        <w:bottom w:val="none" w:sz="0" w:space="0" w:color="auto"/>
        <w:right w:val="none" w:sz="0" w:space="0" w:color="auto"/>
      </w:divBdr>
    </w:div>
    <w:div w:id="990718967">
      <w:bodyDiv w:val="1"/>
      <w:marLeft w:val="0"/>
      <w:marRight w:val="0"/>
      <w:marTop w:val="0"/>
      <w:marBottom w:val="0"/>
      <w:divBdr>
        <w:top w:val="none" w:sz="0" w:space="0" w:color="auto"/>
        <w:left w:val="none" w:sz="0" w:space="0" w:color="auto"/>
        <w:bottom w:val="none" w:sz="0" w:space="0" w:color="auto"/>
        <w:right w:val="none" w:sz="0" w:space="0" w:color="auto"/>
      </w:divBdr>
    </w:div>
    <w:div w:id="1207722096">
      <w:bodyDiv w:val="1"/>
      <w:marLeft w:val="0"/>
      <w:marRight w:val="0"/>
      <w:marTop w:val="0"/>
      <w:marBottom w:val="0"/>
      <w:divBdr>
        <w:top w:val="none" w:sz="0" w:space="0" w:color="auto"/>
        <w:left w:val="none" w:sz="0" w:space="0" w:color="auto"/>
        <w:bottom w:val="none" w:sz="0" w:space="0" w:color="auto"/>
        <w:right w:val="none" w:sz="0" w:space="0" w:color="auto"/>
      </w:divBdr>
    </w:div>
    <w:div w:id="1992176848">
      <w:bodyDiv w:val="1"/>
      <w:marLeft w:val="0"/>
      <w:marRight w:val="0"/>
      <w:marTop w:val="0"/>
      <w:marBottom w:val="0"/>
      <w:divBdr>
        <w:top w:val="none" w:sz="0" w:space="0" w:color="auto"/>
        <w:left w:val="none" w:sz="0" w:space="0" w:color="auto"/>
        <w:bottom w:val="none" w:sz="0" w:space="0" w:color="auto"/>
        <w:right w:val="none" w:sz="0" w:space="0" w:color="auto"/>
      </w:divBdr>
    </w:div>
    <w:div w:id="19970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hyperlink" Target="http://www.ILHousingSearch.org"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s://www.illinois.gov/hfs/MedicalProviders/notices/Pages/prn180222a.asp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b="1" i="0" baseline="0">
                <a:effectLst/>
                <a:latin typeface="+mj-lt"/>
              </a:rPr>
              <a:t>Average # of calender days  taken from RR done to data-entry and data-entry to agency assignment, by Month </a:t>
            </a:r>
            <a:endParaRPr lang="en-US" sz="1200">
              <a:effectLst/>
              <a:latin typeface="+mj-l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9.1519742997425005E-2"/>
          <c:y val="0.18377677280135901"/>
          <c:w val="0.78778887046663704"/>
          <c:h val="0.76686887773360202"/>
        </c:manualLayout>
      </c:layout>
      <c:lineChart>
        <c:grouping val="standard"/>
        <c:varyColors val="0"/>
        <c:ser>
          <c:idx val="0"/>
          <c:order val="0"/>
          <c:tx>
            <c:strRef>
              <c:f>'C:\usp\[SemiAnnualReportJune2018.xlsx]Sheet1'!$C$304</c:f>
              <c:strCache>
                <c:ptCount val="1"/>
                <c:pt idx="0">
                  <c:v>RR done to Data-entry</c:v>
                </c:pt>
              </c:strCache>
            </c:strRef>
          </c:tx>
          <c:spPr>
            <a:ln w="31750" cap="rnd">
              <a:solidFill>
                <a:srgbClr val="002060"/>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[1]Sheet1!$B$305:$B$310</c:f>
              <c:strCache>
                <c:ptCount val="6"/>
                <c:pt idx="0">
                  <c:v>Jan, 2018</c:v>
                </c:pt>
                <c:pt idx="1">
                  <c:v>Feb, 2018</c:v>
                </c:pt>
                <c:pt idx="2">
                  <c:v>Mar, 2018</c:v>
                </c:pt>
                <c:pt idx="3">
                  <c:v>April, 2018</c:v>
                </c:pt>
                <c:pt idx="4">
                  <c:v>May, 2018</c:v>
                </c:pt>
                <c:pt idx="5">
                  <c:v>June, 2018</c:v>
                </c:pt>
              </c:strCache>
            </c:strRef>
          </c:cat>
          <c:val>
            <c:numRef>
              <c:f>[1]Sheet1!$C$305:$C$310</c:f>
              <c:numCache>
                <c:formatCode>General</c:formatCode>
                <c:ptCount val="6"/>
                <c:pt idx="0">
                  <c:v>20.399999999999999</c:v>
                </c:pt>
                <c:pt idx="1">
                  <c:v>20.2</c:v>
                </c:pt>
                <c:pt idx="2">
                  <c:v>22.6</c:v>
                </c:pt>
                <c:pt idx="3">
                  <c:v>19.5</c:v>
                </c:pt>
                <c:pt idx="4">
                  <c:v>17.7</c:v>
                </c:pt>
                <c:pt idx="5">
                  <c:v>15.5</c:v>
                </c:pt>
              </c:numCache>
            </c:numRef>
          </c:val>
          <c:smooth val="0"/>
          <c:extLst>
            <c:ext xmlns:c16="http://schemas.microsoft.com/office/drawing/2014/chart" uri="{C3380CC4-5D6E-409C-BE32-E72D297353CC}">
              <c16:uniqueId val="{00000000-2614-4825-9501-71859FB6D8AD}"/>
            </c:ext>
          </c:extLst>
        </c:ser>
        <c:ser>
          <c:idx val="1"/>
          <c:order val="1"/>
          <c:tx>
            <c:strRef>
              <c:f>'C:\usp\[SemiAnnualReportJune2018.xlsx]Sheet1'!$D$304</c:f>
              <c:strCache>
                <c:ptCount val="1"/>
                <c:pt idx="0">
                  <c:v>RR Data-entry to assignment</c:v>
                </c:pt>
              </c:strCache>
            </c:strRef>
          </c:tx>
          <c:spPr>
            <a:ln w="31750" cap="rnd">
              <a:solidFill>
                <a:srgbClr val="FF0000"/>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[1]Sheet1!$B$305:$B$310</c:f>
              <c:strCache>
                <c:ptCount val="6"/>
                <c:pt idx="0">
                  <c:v>Jan, 2018</c:v>
                </c:pt>
                <c:pt idx="1">
                  <c:v>Feb, 2018</c:v>
                </c:pt>
                <c:pt idx="2">
                  <c:v>Mar, 2018</c:v>
                </c:pt>
                <c:pt idx="3">
                  <c:v>April, 2018</c:v>
                </c:pt>
                <c:pt idx="4">
                  <c:v>May, 2018</c:v>
                </c:pt>
                <c:pt idx="5">
                  <c:v>June, 2018</c:v>
                </c:pt>
              </c:strCache>
            </c:strRef>
          </c:cat>
          <c:val>
            <c:numRef>
              <c:f>[1]Sheet1!$D$305:$D$310</c:f>
              <c:numCache>
                <c:formatCode>General</c:formatCode>
                <c:ptCount val="6"/>
                <c:pt idx="0">
                  <c:v>15.5</c:v>
                </c:pt>
                <c:pt idx="1">
                  <c:v>9.5</c:v>
                </c:pt>
                <c:pt idx="2">
                  <c:v>10.4</c:v>
                </c:pt>
                <c:pt idx="3">
                  <c:v>8.4</c:v>
                </c:pt>
                <c:pt idx="4">
                  <c:v>8.3000000000000007</c:v>
                </c:pt>
                <c:pt idx="5">
                  <c:v>10.3</c:v>
                </c:pt>
              </c:numCache>
            </c:numRef>
          </c:val>
          <c:smooth val="0"/>
          <c:extLst>
            <c:ext xmlns:c16="http://schemas.microsoft.com/office/drawing/2014/chart" uri="{C3380CC4-5D6E-409C-BE32-E72D297353CC}">
              <c16:uniqueId val="{00000001-2614-4825-9501-71859FB6D8AD}"/>
            </c:ext>
          </c:extLst>
        </c:ser>
        <c:dLbls>
          <c:dLblPos val="ctr"/>
          <c:showLegendKey val="0"/>
          <c:showVal val="1"/>
          <c:showCatName val="0"/>
          <c:showSerName val="0"/>
          <c:showPercent val="0"/>
          <c:showBubbleSize val="0"/>
        </c:dLbls>
        <c:marker val="1"/>
        <c:smooth val="0"/>
        <c:axId val="2113977400"/>
        <c:axId val="-2082011976"/>
      </c:lineChart>
      <c:catAx>
        <c:axId val="21139774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82011976"/>
        <c:crosses val="autoZero"/>
        <c:auto val="1"/>
        <c:lblAlgn val="ctr"/>
        <c:lblOffset val="100"/>
        <c:noMultiLvlLbl val="0"/>
      </c:catAx>
      <c:valAx>
        <c:axId val="-20820119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1139774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3822-59B4-457B-BBDB-5F542C9F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21016</Words>
  <Characters>119797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Higgenbotham, Wanda</dc:creator>
  <cp:keywords/>
  <dc:description/>
  <cp:lastModifiedBy>Hampton, Brenda</cp:lastModifiedBy>
  <cp:revision>2</cp:revision>
  <cp:lastPrinted>2018-09-12T14:22:00Z</cp:lastPrinted>
  <dcterms:created xsi:type="dcterms:W3CDTF">2018-09-25T20:29:00Z</dcterms:created>
  <dcterms:modified xsi:type="dcterms:W3CDTF">2018-09-25T20:29:00Z</dcterms:modified>
</cp:coreProperties>
</file>