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16" w:rsidRDefault="00116616"/>
    <w:p w:rsidR="000801BB" w:rsidRDefault="000801BB" w:rsidP="000801BB">
      <w:pPr>
        <w:jc w:val="center"/>
        <w:rPr>
          <w:b/>
          <w:bCs/>
          <w:sz w:val="36"/>
          <w:szCs w:val="36"/>
        </w:rPr>
      </w:pPr>
      <w:r>
        <w:rPr>
          <w:b/>
          <w:bCs/>
          <w:sz w:val="36"/>
          <w:szCs w:val="36"/>
        </w:rPr>
        <w:t>Medicaid Daily Rates</w:t>
      </w:r>
    </w:p>
    <w:p w:rsidR="000801BB" w:rsidRDefault="000801BB" w:rsidP="000801BB">
      <w:pPr>
        <w:jc w:val="center"/>
        <w:rPr>
          <w:sz w:val="24"/>
          <w:szCs w:val="24"/>
          <w:u w:val="single"/>
        </w:rPr>
      </w:pPr>
      <w:r>
        <w:rPr>
          <w:b/>
          <w:bCs/>
          <w:sz w:val="36"/>
          <w:szCs w:val="36"/>
        </w:rPr>
        <w:t xml:space="preserve">For State-Operated </w:t>
      </w:r>
      <w:r>
        <w:rPr>
          <w:b/>
          <w:bCs/>
          <w:sz w:val="36"/>
          <w:szCs w:val="36"/>
        </w:rPr>
        <w:t>Developmental Centers</w:t>
      </w:r>
      <w:r w:rsidR="00763B59">
        <w:rPr>
          <w:b/>
          <w:bCs/>
          <w:sz w:val="36"/>
          <w:szCs w:val="36"/>
        </w:rPr>
        <w:t xml:space="preserve"> (SODCs)</w:t>
      </w:r>
    </w:p>
    <w:p w:rsidR="000801BB" w:rsidRDefault="000801BB" w:rsidP="000801BB">
      <w:pPr>
        <w:jc w:val="center"/>
        <w:rPr>
          <w:sz w:val="24"/>
          <w:szCs w:val="24"/>
          <w:u w:val="single"/>
        </w:rPr>
      </w:pPr>
      <w:r>
        <w:rPr>
          <w:sz w:val="24"/>
          <w:szCs w:val="24"/>
        </w:rPr>
        <w:t>11/19/15</w:t>
      </w:r>
    </w:p>
    <w:p w:rsidR="000801BB" w:rsidRDefault="000801BB"/>
    <w:p w:rsidR="000801BB" w:rsidRDefault="000801BB"/>
    <w:p w:rsidR="000801BB" w:rsidRDefault="000801BB"/>
    <w:p w:rsidR="000801BB" w:rsidRDefault="000801BB"/>
    <w:p w:rsidR="000801BB" w:rsidRPr="000801BB" w:rsidRDefault="000801BB" w:rsidP="000801BB">
      <w:pPr>
        <w:tabs>
          <w:tab w:val="left" w:pos="720"/>
          <w:tab w:val="left" w:pos="7252"/>
          <w:tab w:val="left" w:pos="7848"/>
        </w:tabs>
        <w:rPr>
          <w:rFonts w:ascii="Arial" w:hAnsi="Arial" w:cs="Arial"/>
          <w:sz w:val="24"/>
          <w:szCs w:val="24"/>
        </w:rPr>
      </w:pPr>
      <w:r w:rsidRPr="000801BB">
        <w:rPr>
          <w:rFonts w:ascii="Arial" w:hAnsi="Arial" w:cs="Arial"/>
          <w:sz w:val="24"/>
          <w:szCs w:val="24"/>
        </w:rPr>
        <w:t xml:space="preserve">Below </w:t>
      </w:r>
      <w:r w:rsidRPr="000801BB">
        <w:rPr>
          <w:rFonts w:ascii="Arial" w:hAnsi="Arial" w:cs="Arial"/>
          <w:sz w:val="24"/>
          <w:szCs w:val="24"/>
        </w:rPr>
        <w:t xml:space="preserve">are the most current Medicaid reimbursement rates for </w:t>
      </w:r>
      <w:r w:rsidRPr="000801BB">
        <w:rPr>
          <w:rFonts w:ascii="Arial" w:hAnsi="Arial" w:cs="Arial"/>
          <w:sz w:val="24"/>
          <w:szCs w:val="24"/>
        </w:rPr>
        <w:t>the State-Operated Developmental Centers.</w:t>
      </w:r>
      <w:r w:rsidRPr="000801BB">
        <w:rPr>
          <w:rFonts w:ascii="Arial" w:hAnsi="Arial" w:cs="Arial"/>
          <w:sz w:val="24"/>
          <w:szCs w:val="24"/>
        </w:rPr>
        <w:t xml:space="preserve">  These Medicaid reimbursement rates are developed based on actual annual costs incurred by each facility.  Facilities report those costs to the D</w:t>
      </w:r>
      <w:r w:rsidRPr="000801BB">
        <w:rPr>
          <w:rFonts w:ascii="Arial" w:hAnsi="Arial" w:cs="Arial"/>
          <w:sz w:val="24"/>
          <w:szCs w:val="24"/>
        </w:rPr>
        <w:t xml:space="preserve">epartment of </w:t>
      </w:r>
      <w:r w:rsidRPr="000801BB">
        <w:rPr>
          <w:rFonts w:ascii="Arial" w:hAnsi="Arial" w:cs="Arial"/>
          <w:sz w:val="24"/>
          <w:szCs w:val="24"/>
        </w:rPr>
        <w:t>H</w:t>
      </w:r>
      <w:r w:rsidRPr="000801BB">
        <w:rPr>
          <w:rFonts w:ascii="Arial" w:hAnsi="Arial" w:cs="Arial"/>
          <w:sz w:val="24"/>
          <w:szCs w:val="24"/>
        </w:rPr>
        <w:t xml:space="preserve">uman </w:t>
      </w:r>
      <w:r w:rsidRPr="000801BB">
        <w:rPr>
          <w:rFonts w:ascii="Arial" w:hAnsi="Arial" w:cs="Arial"/>
          <w:sz w:val="24"/>
          <w:szCs w:val="24"/>
        </w:rPr>
        <w:t>S</w:t>
      </w:r>
      <w:r w:rsidRPr="000801BB">
        <w:rPr>
          <w:rFonts w:ascii="Arial" w:hAnsi="Arial" w:cs="Arial"/>
          <w:sz w:val="24"/>
          <w:szCs w:val="24"/>
        </w:rPr>
        <w:t>ervices’</w:t>
      </w:r>
      <w:r w:rsidRPr="000801BB">
        <w:rPr>
          <w:rFonts w:ascii="Arial" w:hAnsi="Arial" w:cs="Arial"/>
          <w:sz w:val="24"/>
          <w:szCs w:val="24"/>
        </w:rPr>
        <w:t xml:space="preserve"> Office of Fiscal Services, which reports them to </w:t>
      </w:r>
      <w:r w:rsidRPr="000801BB">
        <w:rPr>
          <w:rFonts w:ascii="Arial" w:hAnsi="Arial" w:cs="Arial"/>
          <w:sz w:val="24"/>
          <w:szCs w:val="24"/>
        </w:rPr>
        <w:t xml:space="preserve">the Department of </w:t>
      </w:r>
      <w:r w:rsidRPr="000801BB">
        <w:rPr>
          <w:rFonts w:ascii="Arial" w:hAnsi="Arial" w:cs="Arial"/>
          <w:sz w:val="24"/>
          <w:szCs w:val="24"/>
        </w:rPr>
        <w:t>H</w:t>
      </w:r>
      <w:r w:rsidRPr="000801BB">
        <w:rPr>
          <w:rFonts w:ascii="Arial" w:hAnsi="Arial" w:cs="Arial"/>
          <w:sz w:val="24"/>
          <w:szCs w:val="24"/>
        </w:rPr>
        <w:t xml:space="preserve">ealthcare and </w:t>
      </w:r>
      <w:r w:rsidRPr="000801BB">
        <w:rPr>
          <w:rFonts w:ascii="Arial" w:hAnsi="Arial" w:cs="Arial"/>
          <w:sz w:val="24"/>
          <w:szCs w:val="24"/>
        </w:rPr>
        <w:t>F</w:t>
      </w:r>
      <w:r w:rsidRPr="000801BB">
        <w:rPr>
          <w:rFonts w:ascii="Arial" w:hAnsi="Arial" w:cs="Arial"/>
          <w:sz w:val="24"/>
          <w:szCs w:val="24"/>
        </w:rPr>
        <w:t xml:space="preserve">amily </w:t>
      </w:r>
      <w:r w:rsidRPr="000801BB">
        <w:rPr>
          <w:rFonts w:ascii="Arial" w:hAnsi="Arial" w:cs="Arial"/>
          <w:sz w:val="24"/>
          <w:szCs w:val="24"/>
        </w:rPr>
        <w:t>S</w:t>
      </w:r>
      <w:r w:rsidRPr="000801BB">
        <w:rPr>
          <w:rFonts w:ascii="Arial" w:hAnsi="Arial" w:cs="Arial"/>
          <w:sz w:val="24"/>
          <w:szCs w:val="24"/>
        </w:rPr>
        <w:t>ervices (HFS)</w:t>
      </w:r>
      <w:r w:rsidRPr="000801BB">
        <w:rPr>
          <w:rFonts w:ascii="Arial" w:hAnsi="Arial" w:cs="Arial"/>
          <w:sz w:val="24"/>
          <w:szCs w:val="24"/>
        </w:rPr>
        <w:t xml:space="preserve"> and/or the federal government.  Please note that these are </w:t>
      </w:r>
      <w:r w:rsidRPr="000801BB">
        <w:rPr>
          <w:rFonts w:ascii="Arial" w:hAnsi="Arial" w:cs="Arial"/>
          <w:sz w:val="24"/>
          <w:szCs w:val="24"/>
        </w:rPr>
        <w:t xml:space="preserve">the </w:t>
      </w:r>
      <w:r w:rsidRPr="000801BB">
        <w:rPr>
          <w:rFonts w:ascii="Arial" w:hAnsi="Arial" w:cs="Arial"/>
          <w:sz w:val="24"/>
          <w:szCs w:val="24"/>
        </w:rPr>
        <w:t xml:space="preserve">rates that DHS </w:t>
      </w:r>
      <w:r w:rsidRPr="000801BB">
        <w:rPr>
          <w:rFonts w:ascii="Arial" w:hAnsi="Arial" w:cs="Arial"/>
          <w:sz w:val="24"/>
          <w:szCs w:val="24"/>
        </w:rPr>
        <w:t>uses</w:t>
      </w:r>
      <w:r w:rsidRPr="000801BB">
        <w:rPr>
          <w:rFonts w:ascii="Arial" w:hAnsi="Arial" w:cs="Arial"/>
          <w:sz w:val="24"/>
          <w:szCs w:val="24"/>
        </w:rPr>
        <w:t xml:space="preserve"> per person, per day, when </w:t>
      </w:r>
      <w:r w:rsidRPr="000801BB">
        <w:rPr>
          <w:rFonts w:ascii="Arial" w:hAnsi="Arial" w:cs="Arial"/>
          <w:sz w:val="24"/>
          <w:szCs w:val="24"/>
        </w:rPr>
        <w:t>it</w:t>
      </w:r>
      <w:r w:rsidRPr="000801BB">
        <w:rPr>
          <w:rFonts w:ascii="Arial" w:hAnsi="Arial" w:cs="Arial"/>
          <w:sz w:val="24"/>
          <w:szCs w:val="24"/>
        </w:rPr>
        <w:t xml:space="preserve"> </w:t>
      </w:r>
      <w:r w:rsidRPr="000801BB">
        <w:rPr>
          <w:rFonts w:ascii="Arial" w:hAnsi="Arial" w:cs="Arial"/>
          <w:sz w:val="24"/>
          <w:szCs w:val="24"/>
        </w:rPr>
        <w:t xml:space="preserve">works with </w:t>
      </w:r>
      <w:r w:rsidRPr="000801BB">
        <w:rPr>
          <w:rFonts w:ascii="Arial" w:hAnsi="Arial" w:cs="Arial"/>
          <w:sz w:val="24"/>
          <w:szCs w:val="24"/>
        </w:rPr>
        <w:t xml:space="preserve">HFS </w:t>
      </w:r>
      <w:r w:rsidRPr="000801BB">
        <w:rPr>
          <w:rFonts w:ascii="Arial" w:hAnsi="Arial" w:cs="Arial"/>
          <w:sz w:val="24"/>
          <w:szCs w:val="24"/>
        </w:rPr>
        <w:t>to file claims for</w:t>
      </w:r>
      <w:r w:rsidRPr="000801BB">
        <w:rPr>
          <w:rFonts w:ascii="Arial" w:hAnsi="Arial" w:cs="Arial"/>
          <w:sz w:val="24"/>
          <w:szCs w:val="24"/>
        </w:rPr>
        <w:t xml:space="preserve"> Medicaid-covered services.</w:t>
      </w:r>
      <w:r>
        <w:rPr>
          <w:rFonts w:ascii="Arial" w:hAnsi="Arial" w:cs="Arial"/>
          <w:sz w:val="24"/>
          <w:szCs w:val="24"/>
        </w:rPr>
        <w:t xml:space="preserve">  Not all of the costs are reflected in the appropriations for the Division of Developmental Disabilities, but may be reflected in other appropriations.</w:t>
      </w:r>
    </w:p>
    <w:p w:rsidR="000801BB" w:rsidRPr="000801BB" w:rsidRDefault="000801BB" w:rsidP="000801BB">
      <w:pPr>
        <w:tabs>
          <w:tab w:val="left" w:pos="720"/>
          <w:tab w:val="left" w:pos="7252"/>
          <w:tab w:val="left" w:pos="7848"/>
        </w:tabs>
        <w:rPr>
          <w:rFonts w:ascii="Arial" w:hAnsi="Arial" w:cs="Arial"/>
          <w:sz w:val="24"/>
          <w:szCs w:val="24"/>
        </w:rPr>
      </w:pPr>
    </w:p>
    <w:p w:rsidR="000801BB" w:rsidRPr="000801BB" w:rsidRDefault="000801BB" w:rsidP="000801BB">
      <w:pPr>
        <w:tabs>
          <w:tab w:val="left" w:pos="720"/>
          <w:tab w:val="left" w:pos="7252"/>
          <w:tab w:val="left" w:pos="7848"/>
        </w:tabs>
        <w:rPr>
          <w:rFonts w:ascii="Arial" w:hAnsi="Arial" w:cs="Arial"/>
          <w:sz w:val="24"/>
          <w:szCs w:val="24"/>
        </w:rPr>
      </w:pPr>
      <w:r w:rsidRPr="000801BB">
        <w:rPr>
          <w:rFonts w:ascii="Arial" w:hAnsi="Arial" w:cs="Arial"/>
          <w:sz w:val="24"/>
          <w:szCs w:val="24"/>
        </w:rPr>
        <w:t>T</w:t>
      </w:r>
      <w:r w:rsidRPr="000801BB">
        <w:rPr>
          <w:rFonts w:ascii="Arial" w:hAnsi="Arial" w:cs="Arial"/>
          <w:sz w:val="24"/>
          <w:szCs w:val="24"/>
        </w:rPr>
        <w:t>here are some interim rates listed, which are temporary estimated rates that are used until facilities’ cost reports are filed after the end of the fiscal year or other cost reporting issues are resolved.  Final rates will be established at a later date.</w:t>
      </w:r>
      <w:r w:rsidRPr="000801BB">
        <w:rPr>
          <w:rFonts w:ascii="Arial" w:hAnsi="Arial" w:cs="Arial"/>
          <w:sz w:val="24"/>
          <w:szCs w:val="24"/>
        </w:rPr>
        <w:t xml:space="preserve"> </w:t>
      </w:r>
      <w:r w:rsidRPr="000801BB">
        <w:rPr>
          <w:rFonts w:ascii="Arial" w:hAnsi="Arial" w:cs="Arial"/>
          <w:sz w:val="24"/>
          <w:szCs w:val="24"/>
        </w:rPr>
        <w:t xml:space="preserve"> Several years of rates are included for historical purposes.</w:t>
      </w:r>
    </w:p>
    <w:p w:rsidR="000801BB" w:rsidRDefault="000801BB" w:rsidP="000801BB">
      <w:pPr>
        <w:tabs>
          <w:tab w:val="left" w:pos="720"/>
          <w:tab w:val="left" w:pos="7252"/>
          <w:tab w:val="left" w:pos="7848"/>
        </w:tabs>
        <w:rPr>
          <w:sz w:val="24"/>
          <w:szCs w:val="24"/>
        </w:rPr>
      </w:pPr>
    </w:p>
    <w:p w:rsidR="000801BB" w:rsidRDefault="000801BB" w:rsidP="000801BB">
      <w:pPr>
        <w:tabs>
          <w:tab w:val="left" w:pos="720"/>
          <w:tab w:val="left" w:pos="7252"/>
          <w:tab w:val="left" w:pos="7848"/>
        </w:tabs>
        <w:rPr>
          <w:sz w:val="24"/>
          <w:szCs w:val="24"/>
        </w:rPr>
      </w:pPr>
    </w:p>
    <w:p w:rsidR="000801BB" w:rsidRDefault="000801BB" w:rsidP="000801BB">
      <w:pPr>
        <w:tabs>
          <w:tab w:val="left" w:pos="720"/>
          <w:tab w:val="left" w:pos="6570"/>
          <w:tab w:val="left" w:pos="7252"/>
          <w:tab w:val="left" w:pos="7848"/>
        </w:tabs>
        <w:rPr>
          <w:sz w:val="24"/>
          <w:szCs w:val="24"/>
        </w:rPr>
      </w:pPr>
    </w:p>
    <w:p w:rsidR="000801BB" w:rsidRDefault="000801BB" w:rsidP="000801BB">
      <w:pPr>
        <w:tabs>
          <w:tab w:val="left" w:pos="720"/>
          <w:tab w:val="left" w:pos="6570"/>
          <w:tab w:val="left" w:pos="7252"/>
          <w:tab w:val="left" w:pos="7848"/>
        </w:tabs>
        <w:rPr>
          <w:sz w:val="24"/>
          <w:szCs w:val="24"/>
        </w:rPr>
      </w:pPr>
      <w:r>
        <w:rPr>
          <w:b/>
          <w:bCs/>
          <w:sz w:val="32"/>
          <w:szCs w:val="32"/>
        </w:rPr>
        <w:t>DEVELOPMENTAL CENTER RATES</w:t>
      </w:r>
      <w:r>
        <w:rPr>
          <w:sz w:val="32"/>
          <w:szCs w:val="32"/>
        </w:rPr>
        <w:t xml:space="preserve"> </w:t>
      </w:r>
    </w:p>
    <w:p w:rsidR="000801BB" w:rsidRDefault="000801BB" w:rsidP="000801BB">
      <w:pPr>
        <w:pStyle w:val="Heading1"/>
        <w:tabs>
          <w:tab w:val="left" w:pos="720"/>
          <w:tab w:val="left" w:pos="6570"/>
          <w:tab w:val="left" w:pos="7252"/>
          <w:tab w:val="left" w:pos="7848"/>
        </w:tabs>
      </w:pPr>
      <w:r>
        <w:t>Category of Service (COS) 73</w:t>
      </w:r>
    </w:p>
    <w:p w:rsidR="000801BB" w:rsidRDefault="000801BB" w:rsidP="000801BB">
      <w:pPr>
        <w:tabs>
          <w:tab w:val="left" w:pos="720"/>
          <w:tab w:val="left" w:pos="6570"/>
          <w:tab w:val="left" w:pos="7252"/>
          <w:tab w:val="left" w:pos="7848"/>
        </w:tabs>
        <w:rPr>
          <w:sz w:val="24"/>
          <w:szCs w:val="24"/>
        </w:rPr>
      </w:pPr>
    </w:p>
    <w:tbl>
      <w:tblPr>
        <w:tblW w:w="0" w:type="auto"/>
        <w:jc w:val="center"/>
        <w:tblInd w:w="-361" w:type="dxa"/>
        <w:tblLayout w:type="fixed"/>
        <w:tblCellMar>
          <w:left w:w="100" w:type="dxa"/>
          <w:right w:w="100" w:type="dxa"/>
        </w:tblCellMar>
        <w:tblLook w:val="0000" w:firstRow="0" w:lastRow="0" w:firstColumn="0" w:lastColumn="0" w:noHBand="0" w:noVBand="0"/>
      </w:tblPr>
      <w:tblGrid>
        <w:gridCol w:w="1170"/>
        <w:gridCol w:w="2160"/>
        <w:gridCol w:w="1530"/>
        <w:gridCol w:w="1890"/>
        <w:gridCol w:w="1890"/>
        <w:gridCol w:w="2430"/>
      </w:tblGrid>
      <w:tr w:rsidR="000801BB" w:rsidTr="0082172E">
        <w:trPr>
          <w:cantSplit/>
          <w:trHeight w:val="403"/>
          <w:jc w:val="center"/>
        </w:trPr>
        <w:tc>
          <w:tcPr>
            <w:tcW w:w="1170" w:type="dxa"/>
            <w:tcBorders>
              <w:top w:val="single" w:sz="6" w:space="0" w:color="auto"/>
              <w:left w:val="single" w:sz="6" w:space="0" w:color="auto"/>
              <w:bottom w:val="nil"/>
              <w:right w:val="nil"/>
            </w:tcBorders>
            <w:shd w:val="clear" w:color="auto" w:fill="C2D69B" w:themeFill="accent3" w:themeFillTint="99"/>
            <w:vAlign w:val="center"/>
          </w:tcPr>
          <w:p w:rsidR="000801BB" w:rsidRDefault="000801BB" w:rsidP="0082172E">
            <w:pPr>
              <w:jc w:val="center"/>
              <w:rPr>
                <w:sz w:val="24"/>
                <w:szCs w:val="24"/>
              </w:rPr>
            </w:pPr>
            <w:r>
              <w:rPr>
                <w:b/>
                <w:bCs/>
                <w:sz w:val="18"/>
                <w:szCs w:val="18"/>
              </w:rPr>
              <w:t>Facility #</w:t>
            </w:r>
          </w:p>
        </w:tc>
        <w:tc>
          <w:tcPr>
            <w:tcW w:w="2160" w:type="dxa"/>
            <w:tcBorders>
              <w:top w:val="single" w:sz="6" w:space="0" w:color="auto"/>
              <w:left w:val="single" w:sz="6" w:space="0" w:color="auto"/>
              <w:bottom w:val="nil"/>
              <w:right w:val="nil"/>
            </w:tcBorders>
            <w:shd w:val="clear" w:color="auto" w:fill="C2D69B" w:themeFill="accent3" w:themeFillTint="99"/>
            <w:vAlign w:val="center"/>
          </w:tcPr>
          <w:p w:rsidR="000801BB" w:rsidRDefault="000801BB" w:rsidP="0082172E">
            <w:pPr>
              <w:pStyle w:val="Heading2"/>
            </w:pPr>
            <w:r>
              <w:t>Facility Name</w:t>
            </w:r>
          </w:p>
        </w:tc>
        <w:tc>
          <w:tcPr>
            <w:tcW w:w="1530" w:type="dxa"/>
            <w:tcBorders>
              <w:top w:val="single" w:sz="6" w:space="0" w:color="auto"/>
              <w:left w:val="single" w:sz="6" w:space="0" w:color="auto"/>
              <w:bottom w:val="nil"/>
              <w:right w:val="nil"/>
            </w:tcBorders>
            <w:shd w:val="clear" w:color="auto" w:fill="C2D69B" w:themeFill="accent3" w:themeFillTint="99"/>
            <w:vAlign w:val="center"/>
          </w:tcPr>
          <w:p w:rsidR="000801BB" w:rsidRDefault="000801BB" w:rsidP="0082172E">
            <w:pPr>
              <w:jc w:val="center"/>
              <w:rPr>
                <w:sz w:val="22"/>
                <w:szCs w:val="22"/>
              </w:rPr>
            </w:pPr>
            <w:r>
              <w:rPr>
                <w:b/>
                <w:bCs/>
                <w:sz w:val="22"/>
                <w:szCs w:val="22"/>
              </w:rPr>
              <w:t>FY13 FINAL</w:t>
            </w:r>
          </w:p>
        </w:tc>
        <w:tc>
          <w:tcPr>
            <w:tcW w:w="1890" w:type="dxa"/>
            <w:tcBorders>
              <w:top w:val="single" w:sz="6" w:space="0" w:color="auto"/>
              <w:left w:val="single" w:sz="6" w:space="0" w:color="auto"/>
              <w:bottom w:val="nil"/>
              <w:right w:val="nil"/>
            </w:tcBorders>
            <w:shd w:val="clear" w:color="auto" w:fill="C2D69B" w:themeFill="accent3" w:themeFillTint="99"/>
            <w:vAlign w:val="center"/>
          </w:tcPr>
          <w:p w:rsidR="000801BB" w:rsidRDefault="000801BB" w:rsidP="0082172E">
            <w:pPr>
              <w:jc w:val="center"/>
              <w:rPr>
                <w:sz w:val="22"/>
                <w:szCs w:val="22"/>
              </w:rPr>
            </w:pPr>
            <w:r>
              <w:rPr>
                <w:b/>
                <w:bCs/>
                <w:sz w:val="22"/>
                <w:szCs w:val="22"/>
              </w:rPr>
              <w:t>FY14 FINAL</w:t>
            </w:r>
          </w:p>
        </w:tc>
        <w:tc>
          <w:tcPr>
            <w:tcW w:w="1890" w:type="dxa"/>
            <w:tcBorders>
              <w:top w:val="single" w:sz="6" w:space="0" w:color="auto"/>
              <w:left w:val="single" w:sz="6" w:space="0" w:color="auto"/>
              <w:bottom w:val="nil"/>
              <w:right w:val="nil"/>
            </w:tcBorders>
            <w:shd w:val="clear" w:color="auto" w:fill="C2D69B" w:themeFill="accent3" w:themeFillTint="99"/>
            <w:vAlign w:val="center"/>
          </w:tcPr>
          <w:p w:rsidR="000801BB" w:rsidRDefault="000801BB" w:rsidP="0082172E">
            <w:pPr>
              <w:jc w:val="center"/>
              <w:rPr>
                <w:sz w:val="22"/>
                <w:szCs w:val="22"/>
              </w:rPr>
            </w:pPr>
            <w:r>
              <w:rPr>
                <w:b/>
                <w:bCs/>
                <w:sz w:val="22"/>
                <w:szCs w:val="22"/>
              </w:rPr>
              <w:t xml:space="preserve">FY15 </w:t>
            </w:r>
            <w:r w:rsidRPr="00FA6C3E">
              <w:rPr>
                <w:b/>
                <w:bCs/>
                <w:sz w:val="18"/>
                <w:szCs w:val="18"/>
              </w:rPr>
              <w:t>INTERIM</w:t>
            </w:r>
          </w:p>
        </w:tc>
        <w:tc>
          <w:tcPr>
            <w:tcW w:w="2430" w:type="dxa"/>
            <w:tcBorders>
              <w:top w:val="single" w:sz="6" w:space="0" w:color="auto"/>
              <w:left w:val="single" w:sz="6" w:space="0" w:color="auto"/>
              <w:bottom w:val="nil"/>
              <w:right w:val="single" w:sz="6" w:space="0" w:color="auto"/>
            </w:tcBorders>
            <w:shd w:val="clear" w:color="auto" w:fill="C2D69B" w:themeFill="accent3" w:themeFillTint="99"/>
            <w:vAlign w:val="center"/>
          </w:tcPr>
          <w:p w:rsidR="000801BB" w:rsidRDefault="000801BB" w:rsidP="0082172E">
            <w:pPr>
              <w:pStyle w:val="Heading3"/>
              <w:rPr>
                <w:sz w:val="18"/>
                <w:szCs w:val="18"/>
              </w:rPr>
            </w:pPr>
            <w:r>
              <w:rPr>
                <w:sz w:val="22"/>
                <w:szCs w:val="22"/>
              </w:rPr>
              <w:t xml:space="preserve">FY16 </w:t>
            </w:r>
            <w:r w:rsidRPr="00FA6C3E">
              <w:rPr>
                <w:sz w:val="18"/>
                <w:szCs w:val="18"/>
              </w:rPr>
              <w:t>INTERIM</w:t>
            </w:r>
          </w:p>
          <w:p w:rsidR="000801BB" w:rsidRPr="00D151C4" w:rsidRDefault="000801BB" w:rsidP="0082172E">
            <w:pPr>
              <w:jc w:val="center"/>
              <w:rPr>
                <w:sz w:val="16"/>
                <w:szCs w:val="16"/>
              </w:rPr>
            </w:pPr>
            <w:r w:rsidRPr="00D151C4">
              <w:rPr>
                <w:sz w:val="16"/>
                <w:szCs w:val="16"/>
              </w:rPr>
              <w:t>(7/1/1</w:t>
            </w:r>
            <w:r>
              <w:rPr>
                <w:sz w:val="16"/>
                <w:szCs w:val="16"/>
              </w:rPr>
              <w:t>5</w:t>
            </w:r>
            <w:r w:rsidRPr="00D151C4">
              <w:rPr>
                <w:sz w:val="16"/>
                <w:szCs w:val="16"/>
              </w:rPr>
              <w:t xml:space="preserve"> to current)</w:t>
            </w:r>
          </w:p>
        </w:tc>
      </w:tr>
      <w:tr w:rsidR="000801BB" w:rsidTr="0082172E">
        <w:trPr>
          <w:cantSplit/>
          <w:trHeight w:val="403"/>
          <w:jc w:val="center"/>
        </w:trPr>
        <w:tc>
          <w:tcPr>
            <w:tcW w:w="1170" w:type="dxa"/>
            <w:tcBorders>
              <w:top w:val="single" w:sz="8" w:space="0" w:color="auto"/>
              <w:left w:val="single" w:sz="6" w:space="0" w:color="auto"/>
              <w:bottom w:val="nil"/>
              <w:right w:val="nil"/>
            </w:tcBorders>
            <w:shd w:val="clear" w:color="auto" w:fill="FFFFFF"/>
            <w:vAlign w:val="center"/>
          </w:tcPr>
          <w:p w:rsidR="000801BB" w:rsidRDefault="000801BB" w:rsidP="0082172E">
            <w:pPr>
              <w:jc w:val="center"/>
              <w:rPr>
                <w:sz w:val="24"/>
                <w:szCs w:val="24"/>
              </w:rPr>
            </w:pPr>
            <w:r>
              <w:rPr>
                <w:sz w:val="24"/>
                <w:szCs w:val="24"/>
              </w:rPr>
              <w:t>18</w:t>
            </w:r>
          </w:p>
        </w:tc>
        <w:tc>
          <w:tcPr>
            <w:tcW w:w="2160" w:type="dxa"/>
            <w:tcBorders>
              <w:top w:val="single" w:sz="8" w:space="0" w:color="auto"/>
              <w:left w:val="single" w:sz="6" w:space="0" w:color="auto"/>
              <w:bottom w:val="nil"/>
              <w:right w:val="nil"/>
            </w:tcBorders>
            <w:shd w:val="clear" w:color="auto" w:fill="FFFFFF"/>
            <w:vAlign w:val="center"/>
          </w:tcPr>
          <w:p w:rsidR="000801BB" w:rsidRDefault="000801BB" w:rsidP="0082172E">
            <w:pPr>
              <w:pStyle w:val="Heading1"/>
            </w:pPr>
            <w:proofErr w:type="spellStart"/>
            <w:r>
              <w:t>Mabley</w:t>
            </w:r>
            <w:proofErr w:type="spellEnd"/>
          </w:p>
        </w:tc>
        <w:tc>
          <w:tcPr>
            <w:tcW w:w="1530" w:type="dxa"/>
            <w:tcBorders>
              <w:top w:val="single" w:sz="8"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sidRPr="009C794E">
              <w:rPr>
                <w:sz w:val="28"/>
                <w:szCs w:val="28"/>
              </w:rPr>
              <w:t xml:space="preserve">$ </w:t>
            </w:r>
            <w:r>
              <w:rPr>
                <w:sz w:val="28"/>
                <w:szCs w:val="28"/>
              </w:rPr>
              <w:t>577.28</w:t>
            </w:r>
          </w:p>
        </w:tc>
        <w:tc>
          <w:tcPr>
            <w:tcW w:w="1890" w:type="dxa"/>
            <w:tcBorders>
              <w:top w:val="single" w:sz="8"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sidRPr="009C794E">
              <w:rPr>
                <w:sz w:val="28"/>
                <w:szCs w:val="28"/>
              </w:rPr>
              <w:t xml:space="preserve">$ </w:t>
            </w:r>
            <w:r>
              <w:rPr>
                <w:sz w:val="28"/>
                <w:szCs w:val="28"/>
              </w:rPr>
              <w:t>670.04</w:t>
            </w:r>
          </w:p>
        </w:tc>
        <w:tc>
          <w:tcPr>
            <w:tcW w:w="1890" w:type="dxa"/>
            <w:tcBorders>
              <w:top w:val="single" w:sz="8"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sidRPr="009C794E">
              <w:rPr>
                <w:sz w:val="28"/>
                <w:szCs w:val="28"/>
              </w:rPr>
              <w:t xml:space="preserve">$ </w:t>
            </w:r>
            <w:r>
              <w:rPr>
                <w:sz w:val="28"/>
                <w:szCs w:val="28"/>
              </w:rPr>
              <w:t>588.49</w:t>
            </w:r>
          </w:p>
        </w:tc>
        <w:tc>
          <w:tcPr>
            <w:tcW w:w="2430" w:type="dxa"/>
            <w:tcBorders>
              <w:top w:val="single" w:sz="8" w:space="0" w:color="auto"/>
              <w:left w:val="single" w:sz="6" w:space="0" w:color="auto"/>
              <w:bottom w:val="nil"/>
              <w:right w:val="single" w:sz="6" w:space="0" w:color="auto"/>
            </w:tcBorders>
            <w:shd w:val="clear" w:color="auto" w:fill="FFFFFF"/>
            <w:vAlign w:val="center"/>
          </w:tcPr>
          <w:p w:rsidR="000801BB" w:rsidRPr="009C794E" w:rsidRDefault="000801BB" w:rsidP="0082172E">
            <w:pPr>
              <w:jc w:val="center"/>
              <w:rPr>
                <w:sz w:val="28"/>
                <w:szCs w:val="28"/>
              </w:rPr>
            </w:pPr>
            <w:r w:rsidRPr="009C794E">
              <w:rPr>
                <w:sz w:val="28"/>
                <w:szCs w:val="28"/>
              </w:rPr>
              <w:t xml:space="preserve">$ </w:t>
            </w:r>
            <w:r>
              <w:rPr>
                <w:sz w:val="28"/>
                <w:szCs w:val="28"/>
              </w:rPr>
              <w:t>683.15</w:t>
            </w:r>
          </w:p>
        </w:tc>
      </w:tr>
      <w:tr w:rsidR="000801BB" w:rsidTr="0082172E">
        <w:trPr>
          <w:cantSplit/>
          <w:trHeight w:val="403"/>
          <w:jc w:val="center"/>
        </w:trPr>
        <w:tc>
          <w:tcPr>
            <w:tcW w:w="1170" w:type="dxa"/>
            <w:tcBorders>
              <w:top w:val="single" w:sz="6" w:space="0" w:color="auto"/>
              <w:left w:val="single" w:sz="6" w:space="0" w:color="auto"/>
              <w:bottom w:val="nil"/>
              <w:right w:val="nil"/>
            </w:tcBorders>
            <w:shd w:val="clear" w:color="auto" w:fill="FFFFFF"/>
            <w:vAlign w:val="center"/>
          </w:tcPr>
          <w:p w:rsidR="000801BB" w:rsidRDefault="000801BB" w:rsidP="0082172E">
            <w:pPr>
              <w:jc w:val="center"/>
              <w:rPr>
                <w:sz w:val="24"/>
                <w:szCs w:val="24"/>
              </w:rPr>
            </w:pPr>
            <w:r>
              <w:rPr>
                <w:sz w:val="24"/>
                <w:szCs w:val="24"/>
              </w:rPr>
              <w:t>29</w:t>
            </w:r>
          </w:p>
        </w:tc>
        <w:tc>
          <w:tcPr>
            <w:tcW w:w="2160" w:type="dxa"/>
            <w:tcBorders>
              <w:top w:val="single" w:sz="6" w:space="0" w:color="auto"/>
              <w:left w:val="single" w:sz="6" w:space="0" w:color="auto"/>
              <w:bottom w:val="nil"/>
              <w:right w:val="nil"/>
            </w:tcBorders>
            <w:shd w:val="clear" w:color="auto" w:fill="FFFFFF"/>
            <w:vAlign w:val="center"/>
          </w:tcPr>
          <w:p w:rsidR="000801BB" w:rsidRDefault="000801BB" w:rsidP="0082172E">
            <w:pPr>
              <w:rPr>
                <w:sz w:val="24"/>
                <w:szCs w:val="24"/>
              </w:rPr>
            </w:pPr>
            <w:r>
              <w:rPr>
                <w:sz w:val="24"/>
                <w:szCs w:val="24"/>
              </w:rPr>
              <w:t>Choate DC</w:t>
            </w:r>
          </w:p>
        </w:tc>
        <w:tc>
          <w:tcPr>
            <w:tcW w:w="153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506.64</w:t>
            </w:r>
          </w:p>
        </w:tc>
        <w:tc>
          <w:tcPr>
            <w:tcW w:w="189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589.95</w:t>
            </w:r>
          </w:p>
        </w:tc>
        <w:tc>
          <w:tcPr>
            <w:tcW w:w="189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516.48</w:t>
            </w:r>
          </w:p>
        </w:tc>
        <w:tc>
          <w:tcPr>
            <w:tcW w:w="2430" w:type="dxa"/>
            <w:tcBorders>
              <w:top w:val="single" w:sz="6" w:space="0" w:color="auto"/>
              <w:left w:val="single" w:sz="6" w:space="0" w:color="auto"/>
              <w:bottom w:val="nil"/>
              <w:right w:val="single" w:sz="6" w:space="0" w:color="auto"/>
            </w:tcBorders>
            <w:shd w:val="clear" w:color="auto" w:fill="FFFFFF"/>
            <w:vAlign w:val="center"/>
          </w:tcPr>
          <w:p w:rsidR="000801BB" w:rsidRPr="009C794E" w:rsidRDefault="000801BB" w:rsidP="0082172E">
            <w:pPr>
              <w:jc w:val="center"/>
              <w:rPr>
                <w:sz w:val="28"/>
                <w:szCs w:val="28"/>
              </w:rPr>
            </w:pPr>
            <w:r>
              <w:rPr>
                <w:sz w:val="28"/>
                <w:szCs w:val="28"/>
              </w:rPr>
              <w:t>601.54</w:t>
            </w:r>
          </w:p>
        </w:tc>
      </w:tr>
      <w:tr w:rsidR="000801BB" w:rsidTr="0082172E">
        <w:trPr>
          <w:cantSplit/>
          <w:trHeight w:val="403"/>
          <w:jc w:val="center"/>
        </w:trPr>
        <w:tc>
          <w:tcPr>
            <w:tcW w:w="1170" w:type="dxa"/>
            <w:tcBorders>
              <w:top w:val="single" w:sz="6" w:space="0" w:color="auto"/>
              <w:left w:val="single" w:sz="6" w:space="0" w:color="auto"/>
              <w:bottom w:val="nil"/>
              <w:right w:val="nil"/>
            </w:tcBorders>
            <w:shd w:val="clear" w:color="auto" w:fill="FFFFFF"/>
            <w:vAlign w:val="center"/>
          </w:tcPr>
          <w:p w:rsidR="000801BB" w:rsidRDefault="000801BB" w:rsidP="0082172E">
            <w:pPr>
              <w:jc w:val="center"/>
              <w:rPr>
                <w:sz w:val="24"/>
                <w:szCs w:val="24"/>
              </w:rPr>
            </w:pPr>
            <w:r>
              <w:rPr>
                <w:sz w:val="24"/>
                <w:szCs w:val="24"/>
              </w:rPr>
              <w:t>45</w:t>
            </w:r>
          </w:p>
        </w:tc>
        <w:tc>
          <w:tcPr>
            <w:tcW w:w="2160" w:type="dxa"/>
            <w:tcBorders>
              <w:top w:val="single" w:sz="6" w:space="0" w:color="auto"/>
              <w:left w:val="single" w:sz="6" w:space="0" w:color="auto"/>
              <w:bottom w:val="nil"/>
              <w:right w:val="nil"/>
            </w:tcBorders>
            <w:shd w:val="clear" w:color="auto" w:fill="FFFFFF"/>
            <w:vAlign w:val="center"/>
          </w:tcPr>
          <w:p w:rsidR="000801BB" w:rsidRDefault="000801BB" w:rsidP="0082172E">
            <w:pPr>
              <w:rPr>
                <w:sz w:val="24"/>
                <w:szCs w:val="24"/>
              </w:rPr>
            </w:pPr>
            <w:r>
              <w:rPr>
                <w:sz w:val="24"/>
                <w:szCs w:val="24"/>
              </w:rPr>
              <w:t>Kiley</w:t>
            </w:r>
          </w:p>
        </w:tc>
        <w:tc>
          <w:tcPr>
            <w:tcW w:w="153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669.64</w:t>
            </w:r>
          </w:p>
        </w:tc>
        <w:tc>
          <w:tcPr>
            <w:tcW w:w="189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786.95</w:t>
            </w:r>
          </w:p>
        </w:tc>
        <w:tc>
          <w:tcPr>
            <w:tcW w:w="189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682.64</w:t>
            </w:r>
          </w:p>
        </w:tc>
        <w:tc>
          <w:tcPr>
            <w:tcW w:w="2430" w:type="dxa"/>
            <w:tcBorders>
              <w:top w:val="single" w:sz="6" w:space="0" w:color="auto"/>
              <w:left w:val="single" w:sz="6" w:space="0" w:color="auto"/>
              <w:bottom w:val="nil"/>
              <w:right w:val="single" w:sz="6" w:space="0" w:color="auto"/>
            </w:tcBorders>
            <w:shd w:val="clear" w:color="auto" w:fill="FFFFFF"/>
            <w:vAlign w:val="center"/>
          </w:tcPr>
          <w:p w:rsidR="000801BB" w:rsidRPr="009C794E" w:rsidRDefault="000801BB" w:rsidP="0082172E">
            <w:pPr>
              <w:jc w:val="center"/>
              <w:rPr>
                <w:sz w:val="28"/>
                <w:szCs w:val="28"/>
              </w:rPr>
            </w:pPr>
            <w:r>
              <w:rPr>
                <w:sz w:val="28"/>
                <w:szCs w:val="28"/>
              </w:rPr>
              <w:t>802.33</w:t>
            </w:r>
          </w:p>
        </w:tc>
      </w:tr>
      <w:tr w:rsidR="000801BB" w:rsidTr="0082172E">
        <w:trPr>
          <w:cantSplit/>
          <w:trHeight w:val="403"/>
          <w:jc w:val="center"/>
        </w:trPr>
        <w:tc>
          <w:tcPr>
            <w:tcW w:w="1170" w:type="dxa"/>
            <w:tcBorders>
              <w:top w:val="single" w:sz="6" w:space="0" w:color="auto"/>
              <w:left w:val="single" w:sz="6" w:space="0" w:color="auto"/>
              <w:bottom w:val="nil"/>
              <w:right w:val="nil"/>
            </w:tcBorders>
            <w:shd w:val="clear" w:color="auto" w:fill="FFFFFF"/>
            <w:vAlign w:val="center"/>
          </w:tcPr>
          <w:p w:rsidR="000801BB" w:rsidRDefault="000801BB" w:rsidP="0082172E">
            <w:pPr>
              <w:jc w:val="center"/>
              <w:rPr>
                <w:sz w:val="24"/>
                <w:szCs w:val="24"/>
              </w:rPr>
            </w:pPr>
            <w:r>
              <w:rPr>
                <w:sz w:val="24"/>
                <w:szCs w:val="24"/>
              </w:rPr>
              <w:t>58</w:t>
            </w:r>
          </w:p>
        </w:tc>
        <w:tc>
          <w:tcPr>
            <w:tcW w:w="2160" w:type="dxa"/>
            <w:tcBorders>
              <w:top w:val="single" w:sz="6" w:space="0" w:color="auto"/>
              <w:left w:val="single" w:sz="6" w:space="0" w:color="auto"/>
              <w:bottom w:val="nil"/>
              <w:right w:val="nil"/>
            </w:tcBorders>
            <w:shd w:val="clear" w:color="auto" w:fill="FFFFFF"/>
            <w:vAlign w:val="center"/>
          </w:tcPr>
          <w:p w:rsidR="000801BB" w:rsidRDefault="000801BB" w:rsidP="0082172E">
            <w:pPr>
              <w:rPr>
                <w:sz w:val="24"/>
                <w:szCs w:val="24"/>
              </w:rPr>
            </w:pPr>
            <w:r>
              <w:rPr>
                <w:sz w:val="24"/>
                <w:szCs w:val="24"/>
              </w:rPr>
              <w:t>Murray</w:t>
            </w:r>
          </w:p>
        </w:tc>
        <w:tc>
          <w:tcPr>
            <w:tcW w:w="153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721.74</w:t>
            </w:r>
          </w:p>
        </w:tc>
        <w:tc>
          <w:tcPr>
            <w:tcW w:w="189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863.77</w:t>
            </w:r>
          </w:p>
        </w:tc>
        <w:tc>
          <w:tcPr>
            <w:tcW w:w="189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735.76</w:t>
            </w:r>
          </w:p>
        </w:tc>
        <w:tc>
          <w:tcPr>
            <w:tcW w:w="2430" w:type="dxa"/>
            <w:tcBorders>
              <w:top w:val="single" w:sz="6" w:space="0" w:color="auto"/>
              <w:left w:val="single" w:sz="6" w:space="0" w:color="auto"/>
              <w:bottom w:val="nil"/>
              <w:right w:val="single" w:sz="6" w:space="0" w:color="auto"/>
            </w:tcBorders>
            <w:shd w:val="clear" w:color="auto" w:fill="FFFFFF"/>
            <w:vAlign w:val="center"/>
          </w:tcPr>
          <w:p w:rsidR="000801BB" w:rsidRPr="009C794E" w:rsidRDefault="000801BB" w:rsidP="0082172E">
            <w:pPr>
              <w:jc w:val="center"/>
              <w:rPr>
                <w:sz w:val="28"/>
                <w:szCs w:val="28"/>
              </w:rPr>
            </w:pPr>
            <w:r>
              <w:rPr>
                <w:sz w:val="28"/>
                <w:szCs w:val="28"/>
              </w:rPr>
              <w:t>880.72</w:t>
            </w:r>
          </w:p>
        </w:tc>
      </w:tr>
      <w:tr w:rsidR="000801BB" w:rsidTr="0082172E">
        <w:trPr>
          <w:cantSplit/>
          <w:trHeight w:val="403"/>
          <w:jc w:val="center"/>
        </w:trPr>
        <w:tc>
          <w:tcPr>
            <w:tcW w:w="1170" w:type="dxa"/>
            <w:tcBorders>
              <w:top w:val="single" w:sz="6" w:space="0" w:color="auto"/>
              <w:left w:val="single" w:sz="6" w:space="0" w:color="auto"/>
              <w:bottom w:val="nil"/>
              <w:right w:val="nil"/>
            </w:tcBorders>
            <w:shd w:val="clear" w:color="auto" w:fill="FFFFFF"/>
            <w:vAlign w:val="center"/>
          </w:tcPr>
          <w:p w:rsidR="000801BB" w:rsidRDefault="000801BB" w:rsidP="0082172E">
            <w:pPr>
              <w:jc w:val="center"/>
              <w:rPr>
                <w:sz w:val="24"/>
                <w:szCs w:val="24"/>
              </w:rPr>
            </w:pPr>
            <w:r>
              <w:rPr>
                <w:sz w:val="24"/>
                <w:szCs w:val="24"/>
              </w:rPr>
              <w:t>79</w:t>
            </w:r>
          </w:p>
        </w:tc>
        <w:tc>
          <w:tcPr>
            <w:tcW w:w="2160" w:type="dxa"/>
            <w:tcBorders>
              <w:top w:val="single" w:sz="6" w:space="0" w:color="auto"/>
              <w:left w:val="single" w:sz="6" w:space="0" w:color="auto"/>
              <w:bottom w:val="nil"/>
              <w:right w:val="nil"/>
            </w:tcBorders>
            <w:shd w:val="clear" w:color="auto" w:fill="FFFFFF"/>
            <w:vAlign w:val="center"/>
          </w:tcPr>
          <w:p w:rsidR="000801BB" w:rsidRDefault="000801BB" w:rsidP="0082172E">
            <w:pPr>
              <w:rPr>
                <w:sz w:val="24"/>
                <w:szCs w:val="24"/>
              </w:rPr>
            </w:pPr>
            <w:r>
              <w:rPr>
                <w:sz w:val="24"/>
                <w:szCs w:val="24"/>
              </w:rPr>
              <w:t>Shapiro</w:t>
            </w:r>
          </w:p>
        </w:tc>
        <w:tc>
          <w:tcPr>
            <w:tcW w:w="153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626.00</w:t>
            </w:r>
          </w:p>
        </w:tc>
        <w:tc>
          <w:tcPr>
            <w:tcW w:w="189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697.47</w:t>
            </w:r>
          </w:p>
        </w:tc>
        <w:tc>
          <w:tcPr>
            <w:tcW w:w="1890" w:type="dxa"/>
            <w:tcBorders>
              <w:top w:val="single" w:sz="6" w:space="0" w:color="auto"/>
              <w:left w:val="single" w:sz="6" w:space="0" w:color="auto"/>
              <w:bottom w:val="nil"/>
              <w:right w:val="nil"/>
            </w:tcBorders>
            <w:shd w:val="clear" w:color="auto" w:fill="FFFFFF"/>
            <w:vAlign w:val="center"/>
          </w:tcPr>
          <w:p w:rsidR="000801BB" w:rsidRPr="009C794E" w:rsidRDefault="000801BB" w:rsidP="0082172E">
            <w:pPr>
              <w:jc w:val="center"/>
              <w:rPr>
                <w:sz w:val="28"/>
                <w:szCs w:val="28"/>
              </w:rPr>
            </w:pPr>
            <w:r>
              <w:rPr>
                <w:sz w:val="28"/>
                <w:szCs w:val="28"/>
              </w:rPr>
              <w:t>638.15</w:t>
            </w:r>
          </w:p>
        </w:tc>
        <w:tc>
          <w:tcPr>
            <w:tcW w:w="2430" w:type="dxa"/>
            <w:tcBorders>
              <w:top w:val="single" w:sz="6" w:space="0" w:color="auto"/>
              <w:left w:val="single" w:sz="6" w:space="0" w:color="auto"/>
              <w:bottom w:val="nil"/>
              <w:right w:val="single" w:sz="6" w:space="0" w:color="auto"/>
            </w:tcBorders>
            <w:shd w:val="clear" w:color="auto" w:fill="FFFFFF"/>
            <w:vAlign w:val="center"/>
          </w:tcPr>
          <w:p w:rsidR="000801BB" w:rsidRPr="009C794E" w:rsidRDefault="000801BB" w:rsidP="0082172E">
            <w:pPr>
              <w:jc w:val="center"/>
              <w:rPr>
                <w:sz w:val="28"/>
                <w:szCs w:val="28"/>
              </w:rPr>
            </w:pPr>
            <w:r>
              <w:rPr>
                <w:sz w:val="28"/>
                <w:szCs w:val="28"/>
              </w:rPr>
              <w:t>711.12</w:t>
            </w:r>
          </w:p>
        </w:tc>
      </w:tr>
      <w:tr w:rsidR="000801BB" w:rsidTr="0082172E">
        <w:trPr>
          <w:cantSplit/>
          <w:trHeight w:val="403"/>
          <w:jc w:val="center"/>
        </w:trPr>
        <w:tc>
          <w:tcPr>
            <w:tcW w:w="1170" w:type="dxa"/>
            <w:tcBorders>
              <w:top w:val="single" w:sz="6" w:space="0" w:color="auto"/>
              <w:left w:val="single" w:sz="6" w:space="0" w:color="auto"/>
              <w:bottom w:val="single" w:sz="6" w:space="0" w:color="auto"/>
              <w:right w:val="nil"/>
            </w:tcBorders>
            <w:shd w:val="clear" w:color="auto" w:fill="FFFFFF"/>
            <w:vAlign w:val="center"/>
          </w:tcPr>
          <w:p w:rsidR="000801BB" w:rsidRDefault="000801BB" w:rsidP="0082172E">
            <w:pPr>
              <w:jc w:val="center"/>
              <w:rPr>
                <w:sz w:val="24"/>
                <w:szCs w:val="24"/>
              </w:rPr>
            </w:pPr>
            <w:r>
              <w:rPr>
                <w:sz w:val="24"/>
                <w:szCs w:val="24"/>
              </w:rPr>
              <w:t>88</w:t>
            </w:r>
          </w:p>
        </w:tc>
        <w:tc>
          <w:tcPr>
            <w:tcW w:w="2160" w:type="dxa"/>
            <w:tcBorders>
              <w:top w:val="single" w:sz="6" w:space="0" w:color="auto"/>
              <w:left w:val="single" w:sz="6" w:space="0" w:color="auto"/>
              <w:bottom w:val="single" w:sz="6" w:space="0" w:color="auto"/>
              <w:right w:val="nil"/>
            </w:tcBorders>
            <w:shd w:val="clear" w:color="auto" w:fill="FFFFFF"/>
            <w:vAlign w:val="center"/>
          </w:tcPr>
          <w:p w:rsidR="000801BB" w:rsidRDefault="000801BB" w:rsidP="0082172E">
            <w:pPr>
              <w:rPr>
                <w:sz w:val="24"/>
                <w:szCs w:val="24"/>
              </w:rPr>
            </w:pPr>
            <w:r>
              <w:rPr>
                <w:sz w:val="24"/>
                <w:szCs w:val="24"/>
              </w:rPr>
              <w:t>Fox</w:t>
            </w:r>
          </w:p>
        </w:tc>
        <w:tc>
          <w:tcPr>
            <w:tcW w:w="1530" w:type="dxa"/>
            <w:tcBorders>
              <w:top w:val="single" w:sz="6" w:space="0" w:color="auto"/>
              <w:left w:val="single" w:sz="6" w:space="0" w:color="auto"/>
              <w:bottom w:val="single" w:sz="6" w:space="0" w:color="auto"/>
              <w:right w:val="nil"/>
            </w:tcBorders>
            <w:shd w:val="clear" w:color="auto" w:fill="FFFFFF"/>
            <w:vAlign w:val="center"/>
          </w:tcPr>
          <w:p w:rsidR="000801BB" w:rsidRPr="009C794E" w:rsidRDefault="000801BB" w:rsidP="0082172E">
            <w:pPr>
              <w:jc w:val="center"/>
              <w:rPr>
                <w:sz w:val="28"/>
                <w:szCs w:val="28"/>
              </w:rPr>
            </w:pPr>
            <w:r>
              <w:rPr>
                <w:sz w:val="28"/>
                <w:szCs w:val="28"/>
              </w:rPr>
              <w:t>692.55</w:t>
            </w:r>
          </w:p>
        </w:tc>
        <w:tc>
          <w:tcPr>
            <w:tcW w:w="1890" w:type="dxa"/>
            <w:tcBorders>
              <w:top w:val="single" w:sz="6" w:space="0" w:color="auto"/>
              <w:left w:val="single" w:sz="6" w:space="0" w:color="auto"/>
              <w:bottom w:val="single" w:sz="6" w:space="0" w:color="auto"/>
              <w:right w:val="nil"/>
            </w:tcBorders>
            <w:shd w:val="clear" w:color="auto" w:fill="FFFFFF"/>
            <w:vAlign w:val="center"/>
          </w:tcPr>
          <w:p w:rsidR="000801BB" w:rsidRPr="009C794E" w:rsidRDefault="000801BB" w:rsidP="0082172E">
            <w:pPr>
              <w:jc w:val="center"/>
              <w:rPr>
                <w:sz w:val="28"/>
                <w:szCs w:val="28"/>
              </w:rPr>
            </w:pPr>
            <w:r>
              <w:rPr>
                <w:sz w:val="28"/>
                <w:szCs w:val="28"/>
              </w:rPr>
              <w:t>784.25</w:t>
            </w:r>
          </w:p>
        </w:tc>
        <w:tc>
          <w:tcPr>
            <w:tcW w:w="1890" w:type="dxa"/>
            <w:tcBorders>
              <w:top w:val="single" w:sz="6" w:space="0" w:color="auto"/>
              <w:left w:val="single" w:sz="6" w:space="0" w:color="auto"/>
              <w:bottom w:val="single" w:sz="6" w:space="0" w:color="auto"/>
              <w:right w:val="nil"/>
            </w:tcBorders>
            <w:shd w:val="clear" w:color="auto" w:fill="FFFFFF"/>
            <w:vAlign w:val="center"/>
          </w:tcPr>
          <w:p w:rsidR="000801BB" w:rsidRPr="009C794E" w:rsidRDefault="000801BB" w:rsidP="0082172E">
            <w:pPr>
              <w:jc w:val="center"/>
              <w:rPr>
                <w:sz w:val="28"/>
                <w:szCs w:val="28"/>
              </w:rPr>
            </w:pPr>
            <w:r>
              <w:rPr>
                <w:sz w:val="28"/>
                <w:szCs w:val="28"/>
              </w:rPr>
              <w:t>705.78</w:t>
            </w:r>
          </w:p>
        </w:tc>
        <w:tc>
          <w:tcPr>
            <w:tcW w:w="2430" w:type="dxa"/>
            <w:tcBorders>
              <w:top w:val="single" w:sz="6" w:space="0" w:color="auto"/>
              <w:left w:val="single" w:sz="6" w:space="0" w:color="auto"/>
              <w:bottom w:val="single" w:sz="6" w:space="0" w:color="auto"/>
              <w:right w:val="single" w:sz="6" w:space="0" w:color="auto"/>
            </w:tcBorders>
            <w:shd w:val="clear" w:color="auto" w:fill="FFFFFF"/>
            <w:vAlign w:val="center"/>
          </w:tcPr>
          <w:p w:rsidR="000801BB" w:rsidRPr="009C794E" w:rsidRDefault="000801BB" w:rsidP="0082172E">
            <w:pPr>
              <w:jc w:val="center"/>
              <w:rPr>
                <w:sz w:val="28"/>
                <w:szCs w:val="28"/>
              </w:rPr>
            </w:pPr>
            <w:r>
              <w:rPr>
                <w:sz w:val="28"/>
                <w:szCs w:val="28"/>
              </w:rPr>
              <w:t>799.41</w:t>
            </w:r>
          </w:p>
        </w:tc>
      </w:tr>
      <w:tr w:rsidR="000801BB" w:rsidTr="0082172E">
        <w:trPr>
          <w:cantSplit/>
          <w:trHeight w:val="403"/>
          <w:jc w:val="center"/>
        </w:trPr>
        <w:tc>
          <w:tcPr>
            <w:tcW w:w="1170" w:type="dxa"/>
            <w:tcBorders>
              <w:top w:val="single" w:sz="6" w:space="0" w:color="auto"/>
              <w:left w:val="single" w:sz="6" w:space="0" w:color="auto"/>
              <w:bottom w:val="single" w:sz="6" w:space="0" w:color="auto"/>
              <w:right w:val="nil"/>
            </w:tcBorders>
            <w:shd w:val="clear" w:color="auto" w:fill="FFFFFF"/>
            <w:vAlign w:val="center"/>
          </w:tcPr>
          <w:p w:rsidR="000801BB" w:rsidRDefault="000801BB" w:rsidP="0082172E">
            <w:pPr>
              <w:jc w:val="center"/>
              <w:rPr>
                <w:sz w:val="24"/>
                <w:szCs w:val="24"/>
              </w:rPr>
            </w:pPr>
            <w:r>
              <w:rPr>
                <w:sz w:val="24"/>
                <w:szCs w:val="24"/>
              </w:rPr>
              <w:t>95</w:t>
            </w:r>
          </w:p>
        </w:tc>
        <w:tc>
          <w:tcPr>
            <w:tcW w:w="2160" w:type="dxa"/>
            <w:tcBorders>
              <w:top w:val="single" w:sz="6" w:space="0" w:color="auto"/>
              <w:left w:val="single" w:sz="6" w:space="0" w:color="auto"/>
              <w:bottom w:val="single" w:sz="6" w:space="0" w:color="auto"/>
              <w:right w:val="nil"/>
            </w:tcBorders>
            <w:shd w:val="clear" w:color="auto" w:fill="FFFFFF"/>
            <w:vAlign w:val="center"/>
          </w:tcPr>
          <w:p w:rsidR="000801BB" w:rsidRDefault="000801BB" w:rsidP="0082172E">
            <w:pPr>
              <w:rPr>
                <w:sz w:val="24"/>
                <w:szCs w:val="24"/>
              </w:rPr>
            </w:pPr>
            <w:proofErr w:type="spellStart"/>
            <w:r>
              <w:rPr>
                <w:sz w:val="24"/>
                <w:szCs w:val="24"/>
              </w:rPr>
              <w:t>Ludeman</w:t>
            </w:r>
            <w:proofErr w:type="spellEnd"/>
          </w:p>
        </w:tc>
        <w:tc>
          <w:tcPr>
            <w:tcW w:w="1530" w:type="dxa"/>
            <w:tcBorders>
              <w:top w:val="single" w:sz="6" w:space="0" w:color="auto"/>
              <w:left w:val="single" w:sz="6" w:space="0" w:color="auto"/>
              <w:bottom w:val="single" w:sz="6" w:space="0" w:color="auto"/>
              <w:right w:val="nil"/>
            </w:tcBorders>
            <w:shd w:val="clear" w:color="auto" w:fill="FFFFFF"/>
            <w:vAlign w:val="center"/>
          </w:tcPr>
          <w:p w:rsidR="000801BB" w:rsidRPr="009C794E" w:rsidRDefault="000801BB" w:rsidP="0082172E">
            <w:pPr>
              <w:jc w:val="center"/>
              <w:rPr>
                <w:sz w:val="28"/>
                <w:szCs w:val="28"/>
              </w:rPr>
            </w:pPr>
            <w:r>
              <w:rPr>
                <w:sz w:val="28"/>
                <w:szCs w:val="28"/>
              </w:rPr>
              <w:t>604.58</w:t>
            </w:r>
          </w:p>
        </w:tc>
        <w:tc>
          <w:tcPr>
            <w:tcW w:w="1890" w:type="dxa"/>
            <w:tcBorders>
              <w:top w:val="single" w:sz="6" w:space="0" w:color="auto"/>
              <w:left w:val="single" w:sz="6" w:space="0" w:color="auto"/>
              <w:bottom w:val="single" w:sz="6" w:space="0" w:color="auto"/>
              <w:right w:val="nil"/>
            </w:tcBorders>
            <w:shd w:val="clear" w:color="auto" w:fill="FFFFFF"/>
            <w:vAlign w:val="center"/>
          </w:tcPr>
          <w:p w:rsidR="000801BB" w:rsidRPr="009C794E" w:rsidRDefault="000801BB" w:rsidP="0082172E">
            <w:pPr>
              <w:jc w:val="center"/>
              <w:rPr>
                <w:sz w:val="28"/>
                <w:szCs w:val="28"/>
              </w:rPr>
            </w:pPr>
            <w:r>
              <w:rPr>
                <w:sz w:val="28"/>
                <w:szCs w:val="28"/>
              </w:rPr>
              <w:t>661.60</w:t>
            </w:r>
          </w:p>
        </w:tc>
        <w:tc>
          <w:tcPr>
            <w:tcW w:w="1890" w:type="dxa"/>
            <w:tcBorders>
              <w:top w:val="single" w:sz="6" w:space="0" w:color="auto"/>
              <w:left w:val="single" w:sz="6" w:space="0" w:color="auto"/>
              <w:bottom w:val="single" w:sz="6" w:space="0" w:color="auto"/>
              <w:right w:val="nil"/>
            </w:tcBorders>
            <w:shd w:val="clear" w:color="auto" w:fill="FFFFFF"/>
            <w:vAlign w:val="center"/>
          </w:tcPr>
          <w:p w:rsidR="000801BB" w:rsidRPr="009C794E" w:rsidRDefault="000801BB" w:rsidP="0082172E">
            <w:pPr>
              <w:jc w:val="center"/>
              <w:rPr>
                <w:sz w:val="28"/>
                <w:szCs w:val="28"/>
              </w:rPr>
            </w:pPr>
            <w:r>
              <w:rPr>
                <w:sz w:val="28"/>
                <w:szCs w:val="28"/>
              </w:rPr>
              <w:t>616.39</w:t>
            </w:r>
          </w:p>
        </w:tc>
        <w:tc>
          <w:tcPr>
            <w:tcW w:w="2430" w:type="dxa"/>
            <w:tcBorders>
              <w:top w:val="single" w:sz="6" w:space="0" w:color="auto"/>
              <w:left w:val="single" w:sz="6" w:space="0" w:color="auto"/>
              <w:bottom w:val="single" w:sz="6" w:space="0" w:color="auto"/>
              <w:right w:val="single" w:sz="6" w:space="0" w:color="auto"/>
            </w:tcBorders>
            <w:shd w:val="clear" w:color="auto" w:fill="FFFFFF"/>
            <w:vAlign w:val="center"/>
          </w:tcPr>
          <w:p w:rsidR="000801BB" w:rsidRPr="009C794E" w:rsidRDefault="000801BB" w:rsidP="0082172E">
            <w:pPr>
              <w:jc w:val="center"/>
              <w:rPr>
                <w:sz w:val="28"/>
                <w:szCs w:val="28"/>
              </w:rPr>
            </w:pPr>
            <w:r>
              <w:rPr>
                <w:sz w:val="28"/>
                <w:szCs w:val="28"/>
              </w:rPr>
              <w:t>674.62</w:t>
            </w:r>
          </w:p>
        </w:tc>
      </w:tr>
    </w:tbl>
    <w:p w:rsidR="000801BB" w:rsidRDefault="000801BB" w:rsidP="000801BB">
      <w:pPr>
        <w:tabs>
          <w:tab w:val="left" w:pos="720"/>
          <w:tab w:val="left" w:pos="6570"/>
          <w:tab w:val="left" w:pos="7252"/>
          <w:tab w:val="left" w:pos="7848"/>
        </w:tabs>
        <w:jc w:val="right"/>
        <w:rPr>
          <w:sz w:val="24"/>
          <w:szCs w:val="24"/>
          <w:u w:val="single"/>
        </w:rPr>
      </w:pPr>
    </w:p>
    <w:p w:rsidR="000801BB" w:rsidRDefault="000801BB"/>
    <w:sectPr w:rsidR="0008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BB"/>
    <w:rsid w:val="000801BB"/>
    <w:rsid w:val="00116616"/>
    <w:rsid w:val="00763B59"/>
    <w:rsid w:val="009D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BB"/>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801BB"/>
    <w:pPr>
      <w:keepNext/>
      <w:outlineLvl w:val="0"/>
    </w:pPr>
    <w:rPr>
      <w:sz w:val="24"/>
      <w:szCs w:val="24"/>
    </w:rPr>
  </w:style>
  <w:style w:type="paragraph" w:styleId="Heading2">
    <w:name w:val="heading 2"/>
    <w:basedOn w:val="Normal"/>
    <w:next w:val="Normal"/>
    <w:link w:val="Heading2Char"/>
    <w:uiPriority w:val="99"/>
    <w:qFormat/>
    <w:rsid w:val="000801BB"/>
    <w:pPr>
      <w:keepNext/>
      <w:jc w:val="center"/>
      <w:outlineLvl w:val="1"/>
    </w:pPr>
    <w:rPr>
      <w:b/>
      <w:bCs/>
      <w:sz w:val="22"/>
      <w:szCs w:val="22"/>
    </w:rPr>
  </w:style>
  <w:style w:type="paragraph" w:styleId="Heading3">
    <w:name w:val="heading 3"/>
    <w:basedOn w:val="Normal"/>
    <w:next w:val="Normal"/>
    <w:link w:val="Heading3Char"/>
    <w:uiPriority w:val="99"/>
    <w:qFormat/>
    <w:rsid w:val="000801B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1B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0801BB"/>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0801BB"/>
    <w:rPr>
      <w:rFonts w:ascii="Times New Roman" w:eastAsia="Times New Roman" w:hAnsi="Times New Roman" w:cs="Times New Roman"/>
      <w:b/>
      <w:bCs/>
      <w:sz w:val="20"/>
      <w:szCs w:val="20"/>
    </w:rPr>
  </w:style>
  <w:style w:type="character" w:styleId="Hyperlink">
    <w:name w:val="Hyperlink"/>
    <w:basedOn w:val="DefaultParagraphFont"/>
    <w:rsid w:val="00080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BB"/>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801BB"/>
    <w:pPr>
      <w:keepNext/>
      <w:outlineLvl w:val="0"/>
    </w:pPr>
    <w:rPr>
      <w:sz w:val="24"/>
      <w:szCs w:val="24"/>
    </w:rPr>
  </w:style>
  <w:style w:type="paragraph" w:styleId="Heading2">
    <w:name w:val="heading 2"/>
    <w:basedOn w:val="Normal"/>
    <w:next w:val="Normal"/>
    <w:link w:val="Heading2Char"/>
    <w:uiPriority w:val="99"/>
    <w:qFormat/>
    <w:rsid w:val="000801BB"/>
    <w:pPr>
      <w:keepNext/>
      <w:jc w:val="center"/>
      <w:outlineLvl w:val="1"/>
    </w:pPr>
    <w:rPr>
      <w:b/>
      <w:bCs/>
      <w:sz w:val="22"/>
      <w:szCs w:val="22"/>
    </w:rPr>
  </w:style>
  <w:style w:type="paragraph" w:styleId="Heading3">
    <w:name w:val="heading 3"/>
    <w:basedOn w:val="Normal"/>
    <w:next w:val="Normal"/>
    <w:link w:val="Heading3Char"/>
    <w:uiPriority w:val="99"/>
    <w:qFormat/>
    <w:rsid w:val="000801B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1B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0801BB"/>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0801BB"/>
    <w:rPr>
      <w:rFonts w:ascii="Times New Roman" w:eastAsia="Times New Roman" w:hAnsi="Times New Roman" w:cs="Times New Roman"/>
      <w:b/>
      <w:bCs/>
      <w:sz w:val="20"/>
      <w:szCs w:val="20"/>
    </w:rPr>
  </w:style>
  <w:style w:type="character" w:styleId="Hyperlink">
    <w:name w:val="Hyperlink"/>
    <w:basedOn w:val="DefaultParagraphFont"/>
    <w:rsid w:val="00080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Rete Hoskin</dc:creator>
  <cp:lastModifiedBy>Rete Hoskin</cp:lastModifiedBy>
  <cp:revision>2</cp:revision>
  <dcterms:created xsi:type="dcterms:W3CDTF">2015-11-25T18:16:00Z</dcterms:created>
  <dcterms:modified xsi:type="dcterms:W3CDTF">2015-11-25T18:28:00Z</dcterms:modified>
</cp:coreProperties>
</file>