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B2" w:rsidRPr="00C319AB" w:rsidRDefault="00EB3543" w:rsidP="00C319AB">
      <w:pPr>
        <w:pStyle w:val="NoSpacing"/>
        <w:jc w:val="center"/>
        <w:rPr>
          <w:rFonts w:cstheme="minorHAnsi"/>
          <w:b/>
          <w:sz w:val="28"/>
          <w:highlight w:val="yellow"/>
          <w:u w:val="single"/>
        </w:rPr>
      </w:pPr>
      <w:r w:rsidRPr="00C319AB">
        <w:rPr>
          <w:rFonts w:cstheme="minorHAnsi"/>
          <w:b/>
          <w:color w:val="000000"/>
          <w:szCs w:val="19"/>
        </w:rPr>
        <w:t>SA00-08</w:t>
      </w:r>
      <w:r w:rsidR="003831D6" w:rsidRPr="00C319AB">
        <w:rPr>
          <w:rFonts w:cstheme="minorHAnsi"/>
          <w:b/>
          <w:color w:val="000000"/>
          <w:szCs w:val="19"/>
        </w:rPr>
        <w:t>8</w:t>
      </w:r>
      <w:r w:rsidRPr="00C319AB">
        <w:rPr>
          <w:rFonts w:cstheme="minorHAnsi"/>
          <w:b/>
          <w:color w:val="000000"/>
          <w:szCs w:val="19"/>
        </w:rPr>
        <w:t>-</w:t>
      </w:r>
      <w:r w:rsidR="00A30BE9" w:rsidRPr="00C319AB">
        <w:rPr>
          <w:rFonts w:cstheme="minorHAnsi"/>
          <w:b/>
          <w:color w:val="000000"/>
          <w:szCs w:val="19"/>
        </w:rPr>
        <w:t>6</w:t>
      </w:r>
      <w:r w:rsidRPr="00C319AB">
        <w:rPr>
          <w:rFonts w:cstheme="minorHAnsi"/>
          <w:b/>
          <w:color w:val="000000"/>
          <w:szCs w:val="19"/>
        </w:rPr>
        <w:t>000</w:t>
      </w:r>
      <w:r w:rsidR="00C43E61" w:rsidRPr="00C319AB">
        <w:rPr>
          <w:rFonts w:cstheme="minorHAnsi"/>
          <w:b/>
          <w:color w:val="000000"/>
          <w:szCs w:val="19"/>
        </w:rPr>
        <w:t xml:space="preserve"> </w:t>
      </w:r>
      <w:r w:rsidR="00C319AB" w:rsidRPr="00C319AB">
        <w:rPr>
          <w:rFonts w:cstheme="minorHAnsi"/>
          <w:b/>
          <w:szCs w:val="19"/>
        </w:rPr>
        <w:t>GLOBAL FY18</w:t>
      </w:r>
    </w:p>
    <w:p w:rsidR="005254B2" w:rsidRPr="00C319AB" w:rsidRDefault="005254B2" w:rsidP="00C43E61">
      <w:pPr>
        <w:pStyle w:val="NoSpacing"/>
        <w:jc w:val="both"/>
        <w:rPr>
          <w:rFonts w:cstheme="minorHAnsi"/>
          <w:b/>
          <w:highlight w:val="yellow"/>
          <w:u w:val="single"/>
        </w:rPr>
      </w:pPr>
    </w:p>
    <w:p w:rsidR="00387382" w:rsidRPr="00C319AB" w:rsidRDefault="00C43E61" w:rsidP="00C43E61">
      <w:pPr>
        <w:pStyle w:val="NoSpacing"/>
        <w:rPr>
          <w:rFonts w:cstheme="minorHAnsi"/>
          <w:b/>
          <w:u w:val="single"/>
        </w:rPr>
      </w:pPr>
      <w:r w:rsidRPr="00C319AB">
        <w:rPr>
          <w:rFonts w:cstheme="minorHAnsi"/>
          <w:b/>
          <w:u w:val="single"/>
        </w:rPr>
        <w:t xml:space="preserve">Exhibit </w:t>
      </w:r>
      <w:r w:rsidR="005254B2" w:rsidRPr="00C319AB">
        <w:rPr>
          <w:rFonts w:cstheme="minorHAnsi"/>
          <w:b/>
          <w:u w:val="single"/>
        </w:rPr>
        <w:t>A</w:t>
      </w:r>
      <w:r w:rsidRPr="00C319AB">
        <w:rPr>
          <w:rFonts w:cstheme="minorHAnsi"/>
          <w:b/>
          <w:u w:val="single"/>
        </w:rPr>
        <w:br/>
      </w:r>
      <w:r w:rsidR="00EB3543" w:rsidRPr="00C319AB">
        <w:rPr>
          <w:rFonts w:cstheme="minorHAnsi"/>
          <w:b/>
        </w:rPr>
        <w:t>Scope of Services</w:t>
      </w:r>
    </w:p>
    <w:p w:rsidR="005254B2" w:rsidRPr="00C319AB" w:rsidRDefault="005254B2" w:rsidP="00C43E61">
      <w:pPr>
        <w:pStyle w:val="NoSpacing"/>
        <w:jc w:val="both"/>
        <w:rPr>
          <w:rFonts w:cstheme="minorHAnsi"/>
        </w:rPr>
      </w:pPr>
    </w:p>
    <w:p w:rsidR="00A30BE9" w:rsidRPr="00C319AB" w:rsidRDefault="00A30BE9" w:rsidP="00C43E61">
      <w:pPr>
        <w:pStyle w:val="NoSpacing"/>
        <w:jc w:val="both"/>
        <w:rPr>
          <w:rFonts w:cstheme="minorHAnsi"/>
          <w:b/>
        </w:rPr>
      </w:pPr>
      <w:r w:rsidRPr="00C319AB">
        <w:rPr>
          <w:rFonts w:cstheme="minorHAnsi"/>
          <w:b/>
        </w:rPr>
        <w:t>Purpose:</w:t>
      </w:r>
    </w:p>
    <w:p w:rsidR="00A30BE9" w:rsidRPr="00C319AB" w:rsidRDefault="00A30BE9" w:rsidP="00C43E61">
      <w:pPr>
        <w:pStyle w:val="NoSpacing"/>
        <w:jc w:val="both"/>
        <w:rPr>
          <w:rFonts w:cstheme="minorHAnsi"/>
        </w:rPr>
      </w:pPr>
      <w:r w:rsidRPr="00C319AB">
        <w:rPr>
          <w:rFonts w:cstheme="minorHAnsi"/>
        </w:rPr>
        <w:t>To provide addiction intervention, recovery support, and treatment services to clients/patients and their family members, as well as community intervention services. These services shall focus on the unique needs of the individual and the impacted families and communities. Services will be specified in the individual's personal treatment and recovery plan as allowable by TITLE 77: PUBLIC HEALTH CHAPTER X: DEPARTMENT OF HUMAN SERVICES SUBCHAPTER d: LICENSURE PART 2060 ALCOHOLISM AND SUBSTANCE ABUSE TREATMENT AND INTERVENTION LICENSES (hereafter referenced as Part 2060).</w:t>
      </w:r>
    </w:p>
    <w:p w:rsidR="00A30BE9" w:rsidRPr="00C319AB" w:rsidRDefault="00A30BE9" w:rsidP="00C43E61">
      <w:pPr>
        <w:pStyle w:val="NoSpacing"/>
        <w:jc w:val="both"/>
        <w:rPr>
          <w:rFonts w:cstheme="minorHAnsi"/>
        </w:rPr>
      </w:pPr>
    </w:p>
    <w:p w:rsidR="00A30BE9" w:rsidRPr="00C319AB" w:rsidRDefault="00A30BE9" w:rsidP="00C43E61">
      <w:pPr>
        <w:pStyle w:val="NoSpacing"/>
        <w:jc w:val="both"/>
        <w:rPr>
          <w:rFonts w:cstheme="minorHAnsi"/>
          <w:b/>
        </w:rPr>
      </w:pPr>
      <w:r w:rsidRPr="00C319AB">
        <w:rPr>
          <w:rFonts w:cstheme="minorHAnsi"/>
          <w:b/>
        </w:rPr>
        <w:t>Definitions:</w:t>
      </w:r>
    </w:p>
    <w:p w:rsidR="00A30BE9" w:rsidRPr="00C319AB" w:rsidRDefault="00C43E61" w:rsidP="00C43E61">
      <w:pPr>
        <w:pStyle w:val="NoSpacing"/>
        <w:jc w:val="both"/>
        <w:rPr>
          <w:rFonts w:cstheme="minorHAnsi"/>
        </w:rPr>
      </w:pPr>
      <w:r w:rsidRPr="00C319AB">
        <w:rPr>
          <w:rFonts w:cstheme="minorHAnsi"/>
        </w:rPr>
        <w:t>“</w:t>
      </w:r>
      <w:r w:rsidR="00A30BE9" w:rsidRPr="00C319AB">
        <w:rPr>
          <w:rFonts w:cstheme="minorHAnsi"/>
        </w:rPr>
        <w:t xml:space="preserve">Intervention" means activities or services that assist persons and their significant others in coping with the immediate problems of substance abuse or dependence and in reducing their substance use. Such services facilitate emotional and social stability and involve referring persons for treatment, as needed. </w:t>
      </w:r>
    </w:p>
    <w:p w:rsidR="00A30BE9" w:rsidRPr="00C319AB" w:rsidRDefault="00A30BE9" w:rsidP="00C43E61">
      <w:pPr>
        <w:pStyle w:val="NoSpacing"/>
        <w:jc w:val="both"/>
        <w:rPr>
          <w:rFonts w:cstheme="minorHAnsi"/>
        </w:rPr>
      </w:pPr>
    </w:p>
    <w:p w:rsidR="00A30BE9" w:rsidRPr="00C319AB" w:rsidRDefault="00C43E61" w:rsidP="00C43E61">
      <w:pPr>
        <w:pStyle w:val="NoSpacing"/>
        <w:jc w:val="both"/>
        <w:rPr>
          <w:rFonts w:cstheme="minorHAnsi"/>
        </w:rPr>
      </w:pPr>
      <w:r w:rsidRPr="00C319AB">
        <w:rPr>
          <w:rFonts w:cstheme="minorHAnsi"/>
        </w:rPr>
        <w:t>“</w:t>
      </w:r>
      <w:r w:rsidR="00A30BE9" w:rsidRPr="00C319AB">
        <w:rPr>
          <w:rFonts w:cstheme="minorHAnsi"/>
          <w:b/>
        </w:rPr>
        <w:t>Treatment</w:t>
      </w:r>
      <w:r w:rsidRPr="00C319AB">
        <w:rPr>
          <w:rFonts w:cstheme="minorHAnsi"/>
        </w:rPr>
        <w:t>”</w:t>
      </w:r>
      <w:r w:rsidR="00A30BE9" w:rsidRPr="00C319AB">
        <w:rPr>
          <w:rFonts w:cstheme="minorHAnsi"/>
        </w:rPr>
        <w:t xml:space="preserve"> means a continuum of care provided to persons addicted to or abusing alcohol or other drugs that </w:t>
      </w:r>
      <w:r w:rsidR="00C319AB" w:rsidRPr="00C319AB">
        <w:rPr>
          <w:rFonts w:cstheme="minorHAnsi"/>
        </w:rPr>
        <w:t>are</w:t>
      </w:r>
      <w:r w:rsidR="00A30BE9" w:rsidRPr="00C319AB">
        <w:rPr>
          <w:rFonts w:cstheme="minorHAnsi"/>
        </w:rPr>
        <w:t xml:space="preserve"> designed to identify and change patterns of behavior that are maladaptive, destructive and/or injurious to health; or to restore appropriate levels of physical, psychological, and/or social functioning. </w:t>
      </w:r>
    </w:p>
    <w:p w:rsidR="00A30BE9" w:rsidRPr="00C319AB" w:rsidRDefault="00A30BE9" w:rsidP="00C43E61">
      <w:pPr>
        <w:pStyle w:val="NoSpacing"/>
        <w:jc w:val="both"/>
        <w:rPr>
          <w:rFonts w:cstheme="minorHAnsi"/>
        </w:rPr>
      </w:pPr>
    </w:p>
    <w:p w:rsidR="00A30BE9" w:rsidRPr="00C319AB" w:rsidRDefault="00A30BE9" w:rsidP="00C43E61">
      <w:pPr>
        <w:pStyle w:val="NoSpacing"/>
        <w:jc w:val="both"/>
        <w:rPr>
          <w:rFonts w:cstheme="minorHAnsi"/>
        </w:rPr>
      </w:pPr>
      <w:r w:rsidRPr="00C319AB">
        <w:rPr>
          <w:rFonts w:cstheme="minorHAnsi"/>
        </w:rPr>
        <w:t>"</w:t>
      </w:r>
      <w:r w:rsidRPr="00C319AB">
        <w:rPr>
          <w:rFonts w:cstheme="minorHAnsi"/>
          <w:b/>
        </w:rPr>
        <w:t>Recovery Home</w:t>
      </w:r>
      <w:r w:rsidRPr="00C319AB">
        <w:rPr>
          <w:rFonts w:cstheme="minorHAnsi"/>
        </w:rPr>
        <w:t xml:space="preserve">" means alcohol and drug free housing authorized by an intervention license issued by the Department, whose rules, peer-led groups, staff activities and/or other structured operations are directed toward maintenance of sobriety for persons in early recovery from substance abuse or who recently have completed substance abuse treatment services or who may still be receiving such treatment services at another licensed facility. </w:t>
      </w:r>
    </w:p>
    <w:p w:rsidR="00A30BE9" w:rsidRPr="00C319AB" w:rsidRDefault="00A30BE9" w:rsidP="00C43E61">
      <w:pPr>
        <w:pStyle w:val="NoSpacing"/>
        <w:jc w:val="both"/>
        <w:rPr>
          <w:rFonts w:cstheme="minorHAnsi"/>
        </w:rPr>
      </w:pPr>
    </w:p>
    <w:p w:rsidR="008F231A" w:rsidRPr="00C319AB" w:rsidRDefault="00A30BE9" w:rsidP="00C43E61">
      <w:pPr>
        <w:pStyle w:val="NoSpacing"/>
        <w:jc w:val="both"/>
        <w:rPr>
          <w:rFonts w:cstheme="minorHAnsi"/>
        </w:rPr>
      </w:pPr>
      <w:r w:rsidRPr="00C319AB">
        <w:rPr>
          <w:rFonts w:cstheme="minorHAnsi"/>
        </w:rPr>
        <w:t>"</w:t>
      </w:r>
      <w:r w:rsidRPr="00C319AB">
        <w:rPr>
          <w:rFonts w:cstheme="minorHAnsi"/>
          <w:b/>
        </w:rPr>
        <w:t>Recovery Support</w:t>
      </w:r>
      <w:r w:rsidRPr="00C319AB">
        <w:rPr>
          <w:rFonts w:cstheme="minorHAnsi"/>
        </w:rPr>
        <w:t>" means activities or services that assist maintenance of sobriety for persons in early recovery from substance abuse or who recently have completed substance abuse treatment services.</w:t>
      </w:r>
    </w:p>
    <w:p w:rsidR="007E0D96" w:rsidRPr="00C319AB" w:rsidRDefault="007E0D96" w:rsidP="00C43E61">
      <w:pPr>
        <w:pStyle w:val="NoSpacing"/>
        <w:jc w:val="both"/>
        <w:rPr>
          <w:rFonts w:cstheme="minorHAnsi"/>
        </w:rPr>
      </w:pPr>
    </w:p>
    <w:p w:rsidR="005254B2" w:rsidRPr="00C319AB" w:rsidRDefault="005254B2" w:rsidP="00C43E61">
      <w:pPr>
        <w:pStyle w:val="NoSpacing"/>
        <w:jc w:val="both"/>
        <w:rPr>
          <w:rFonts w:cstheme="minorHAnsi"/>
        </w:rPr>
      </w:pPr>
    </w:p>
    <w:p w:rsidR="00C43E61" w:rsidRPr="00C319AB" w:rsidRDefault="005254B2" w:rsidP="00C43E61">
      <w:pPr>
        <w:pStyle w:val="NoSpacing"/>
        <w:jc w:val="both"/>
        <w:rPr>
          <w:rFonts w:cstheme="minorHAnsi"/>
          <w:b/>
          <w:u w:val="single"/>
        </w:rPr>
      </w:pPr>
      <w:r w:rsidRPr="00C319AB">
        <w:rPr>
          <w:rFonts w:cstheme="minorHAnsi"/>
          <w:b/>
          <w:u w:val="single"/>
        </w:rPr>
        <w:t>Exhibit B</w:t>
      </w:r>
    </w:p>
    <w:p w:rsidR="005254B2" w:rsidRPr="00C319AB" w:rsidRDefault="00EB3543" w:rsidP="00C43E61">
      <w:pPr>
        <w:pStyle w:val="NoSpacing"/>
        <w:jc w:val="both"/>
        <w:rPr>
          <w:rFonts w:cstheme="minorHAnsi"/>
          <w:b/>
        </w:rPr>
      </w:pPr>
      <w:r w:rsidRPr="00C319AB">
        <w:rPr>
          <w:rFonts w:cstheme="minorHAnsi"/>
          <w:b/>
        </w:rPr>
        <w:t>Deliverables</w:t>
      </w:r>
    </w:p>
    <w:p w:rsidR="005254B2" w:rsidRPr="00C319AB" w:rsidRDefault="005254B2" w:rsidP="00C43E61">
      <w:pPr>
        <w:pStyle w:val="NoSpacing"/>
        <w:jc w:val="both"/>
        <w:rPr>
          <w:rFonts w:cstheme="minorHAnsi"/>
        </w:rPr>
      </w:pPr>
    </w:p>
    <w:p w:rsidR="00A30BE9" w:rsidRPr="00C319AB" w:rsidRDefault="00A30BE9" w:rsidP="00C43E61">
      <w:pPr>
        <w:pStyle w:val="NoSpacing"/>
        <w:jc w:val="both"/>
        <w:rPr>
          <w:rFonts w:cstheme="minorHAnsi"/>
        </w:rPr>
      </w:pPr>
      <w:r w:rsidRPr="00C319AB">
        <w:rPr>
          <w:rFonts w:cstheme="minorHAnsi"/>
        </w:rPr>
        <w:t xml:space="preserve">Perform Screenings and Assessments for clients /patients to determine need for addiction related services.  Provider will develop plan for individuals that meet their needs regarding intervention, treatment and recovery support services. Provider will deliver services in accordance to the protocols in the </w:t>
      </w:r>
      <w:r w:rsidR="001069C5" w:rsidRPr="00C319AB">
        <w:rPr>
          <w:rFonts w:cstheme="minorHAnsi"/>
        </w:rPr>
        <w:t xml:space="preserve">Current Fiscal Year </w:t>
      </w:r>
      <w:r w:rsidRPr="00C319AB">
        <w:rPr>
          <w:rFonts w:cstheme="minorHAnsi"/>
        </w:rPr>
        <w:t>DASA Contractual Policy Manual Service Protocols Section 1</w:t>
      </w:r>
      <w:r w:rsidR="001069C5" w:rsidRPr="00C319AB">
        <w:rPr>
          <w:rFonts w:cstheme="minorHAnsi"/>
        </w:rPr>
        <w:t>.</w:t>
      </w:r>
      <w:r w:rsidRPr="00C319AB">
        <w:rPr>
          <w:rFonts w:cstheme="minorHAnsi"/>
        </w:rPr>
        <w:t xml:space="preserve"> </w:t>
      </w:r>
    </w:p>
    <w:p w:rsidR="00A30BE9" w:rsidRPr="00C319AB" w:rsidRDefault="00A30BE9" w:rsidP="00C43E61">
      <w:pPr>
        <w:pStyle w:val="NoSpacing"/>
        <w:jc w:val="both"/>
        <w:rPr>
          <w:rFonts w:cstheme="minorHAnsi"/>
        </w:rPr>
      </w:pPr>
    </w:p>
    <w:p w:rsidR="00A30BE9" w:rsidRPr="00C319AB" w:rsidRDefault="00A30BE9" w:rsidP="00C43E61">
      <w:pPr>
        <w:pStyle w:val="NoSpacing"/>
        <w:jc w:val="both"/>
        <w:rPr>
          <w:rFonts w:cstheme="minorHAnsi"/>
        </w:rPr>
      </w:pPr>
      <w:r w:rsidRPr="00C319AB">
        <w:rPr>
          <w:rFonts w:cstheme="minorHAnsi"/>
        </w:rPr>
        <w:t xml:space="preserve">Services can be provided if approved via the Exhibit </w:t>
      </w:r>
      <w:r w:rsidR="00C43E61" w:rsidRPr="00C319AB">
        <w:rPr>
          <w:rFonts w:cstheme="minorHAnsi"/>
        </w:rPr>
        <w:t>1:</w:t>
      </w:r>
    </w:p>
    <w:p w:rsidR="00A30BE9" w:rsidRPr="00C319AB" w:rsidRDefault="00A30BE9" w:rsidP="00C43E61">
      <w:pPr>
        <w:pStyle w:val="NoSpacing"/>
        <w:jc w:val="both"/>
        <w:rPr>
          <w:rFonts w:cstheme="minorHAnsi"/>
        </w:rPr>
      </w:pPr>
    </w:p>
    <w:p w:rsidR="00A30BE9" w:rsidRPr="00C319AB" w:rsidRDefault="00A30BE9" w:rsidP="00C43E61">
      <w:pPr>
        <w:pStyle w:val="NoSpacing"/>
        <w:jc w:val="both"/>
        <w:rPr>
          <w:rFonts w:cstheme="minorHAnsi"/>
        </w:rPr>
      </w:pPr>
      <w:r w:rsidRPr="00C319AB">
        <w:rPr>
          <w:rFonts w:cstheme="minorHAnsi"/>
        </w:rPr>
        <w:t xml:space="preserve">Clients need to be referred to alternate providers for services not available at this agency. </w:t>
      </w:r>
    </w:p>
    <w:p w:rsidR="00A30BE9" w:rsidRPr="00C319AB" w:rsidRDefault="00A30BE9" w:rsidP="00C43E61">
      <w:pPr>
        <w:pStyle w:val="NoSpacing"/>
        <w:jc w:val="both"/>
        <w:rPr>
          <w:rFonts w:cstheme="minorHAnsi"/>
        </w:rPr>
      </w:pPr>
    </w:p>
    <w:p w:rsidR="00A30BE9" w:rsidRPr="00C319AB" w:rsidRDefault="00A30BE9" w:rsidP="00C43E61">
      <w:pPr>
        <w:pStyle w:val="NoSpacing"/>
        <w:jc w:val="both"/>
        <w:rPr>
          <w:rFonts w:cstheme="minorHAnsi"/>
        </w:rPr>
      </w:pPr>
      <w:r w:rsidRPr="00C319AB">
        <w:rPr>
          <w:rFonts w:cstheme="minorHAnsi"/>
        </w:rPr>
        <w:t xml:space="preserve">Eligible services: Billable Services for this award, applicable rates, and approved locations are listed in the DHS DASA Exhibit 1.  </w:t>
      </w:r>
    </w:p>
    <w:p w:rsidR="00A30BE9" w:rsidRPr="00C319AB" w:rsidRDefault="00A30BE9" w:rsidP="00A30BE9">
      <w:pPr>
        <w:pStyle w:val="NoSpacing"/>
        <w:rPr>
          <w:rFonts w:cstheme="minorHAnsi"/>
        </w:rPr>
      </w:pPr>
    </w:p>
    <w:p w:rsidR="00A30BE9" w:rsidRPr="00C319AB" w:rsidRDefault="00A30BE9" w:rsidP="00A30BE9">
      <w:pPr>
        <w:pStyle w:val="NoSpacing"/>
        <w:rPr>
          <w:rFonts w:cstheme="minorHAnsi"/>
        </w:rPr>
      </w:pPr>
      <w:r w:rsidRPr="00C319AB">
        <w:rPr>
          <w:rFonts w:cstheme="minorHAnsi"/>
        </w:rPr>
        <w:lastRenderedPageBreak/>
        <w:t xml:space="preserve">Eligible services recipients: Individuals, and their families/significant others, who are in need of addiction intervention and treatment services and meet the income guidelines as specified in the </w:t>
      </w:r>
      <w:r w:rsidR="006E1C3C" w:rsidRPr="00C319AB">
        <w:rPr>
          <w:rFonts w:cstheme="minorHAnsi"/>
        </w:rPr>
        <w:t>Current Fiscal Year I</w:t>
      </w:r>
      <w:r w:rsidRPr="00C319AB">
        <w:rPr>
          <w:rFonts w:cstheme="minorHAnsi"/>
        </w:rPr>
        <w:t>DHS DASA Contractual Policy Manual</w:t>
      </w:r>
      <w:r w:rsidR="006E1C3C" w:rsidRPr="00C319AB">
        <w:rPr>
          <w:rFonts w:cstheme="minorHAnsi"/>
        </w:rPr>
        <w:t>.</w:t>
      </w:r>
    </w:p>
    <w:p w:rsidR="00A30BE9" w:rsidRPr="00C319AB" w:rsidRDefault="00A30BE9" w:rsidP="00A30BE9">
      <w:pPr>
        <w:pStyle w:val="NoSpacing"/>
        <w:rPr>
          <w:rFonts w:cstheme="minorHAnsi"/>
        </w:rPr>
      </w:pPr>
    </w:p>
    <w:p w:rsidR="00A30BE9" w:rsidRPr="00C319AB" w:rsidRDefault="00A30BE9" w:rsidP="00A30BE9">
      <w:pPr>
        <w:pStyle w:val="NoSpacing"/>
        <w:rPr>
          <w:rFonts w:cstheme="minorHAnsi"/>
        </w:rPr>
      </w:pPr>
      <w:r w:rsidRPr="00C319AB">
        <w:rPr>
          <w:rFonts w:cstheme="minorHAnsi"/>
        </w:rPr>
        <w:t>Special Fiscal requirements:</w:t>
      </w:r>
    </w:p>
    <w:p w:rsidR="00A30BE9" w:rsidRPr="00C319AB" w:rsidRDefault="00A30BE9" w:rsidP="00A30BE9">
      <w:pPr>
        <w:pStyle w:val="NoSpacing"/>
        <w:rPr>
          <w:rFonts w:cstheme="minorHAnsi"/>
        </w:rPr>
      </w:pPr>
      <w:r w:rsidRPr="00C319AB">
        <w:rPr>
          <w:rFonts w:cstheme="minorHAnsi"/>
        </w:rPr>
        <w:t>The provider must adhere to all fiscal rules required related to federal funding. These requirements are found within the Catalog of Federal and Domestic Assistance (CFDA) using the CFDA number listed in Exhibit A of this Community Services Agreement.</w:t>
      </w:r>
    </w:p>
    <w:p w:rsidR="006E1C3C" w:rsidRPr="00C319AB" w:rsidRDefault="006E1C3C" w:rsidP="00A30BE9">
      <w:pPr>
        <w:pStyle w:val="NoSpacing"/>
        <w:rPr>
          <w:rFonts w:cstheme="minorHAnsi"/>
        </w:rPr>
      </w:pPr>
    </w:p>
    <w:p w:rsidR="00A30BE9" w:rsidRPr="00C319AB" w:rsidRDefault="00A30BE9" w:rsidP="00A30BE9">
      <w:pPr>
        <w:pStyle w:val="NoSpacing"/>
        <w:rPr>
          <w:rFonts w:cstheme="minorHAnsi"/>
        </w:rPr>
      </w:pPr>
      <w:r w:rsidRPr="00C319AB">
        <w:rPr>
          <w:rFonts w:cstheme="minorHAnsi"/>
        </w:rPr>
        <w:t xml:space="preserve">Added fiscal reporting requirements are referenced in the </w:t>
      </w:r>
      <w:r w:rsidR="006E1C3C" w:rsidRPr="00C319AB">
        <w:rPr>
          <w:rFonts w:cstheme="minorHAnsi"/>
        </w:rPr>
        <w:t>Current Fiscal Year I</w:t>
      </w:r>
      <w:r w:rsidRPr="00C319AB">
        <w:rPr>
          <w:rFonts w:cstheme="minorHAnsi"/>
        </w:rPr>
        <w:t>DHS DASA Program Manual/state Authoritative sources</w:t>
      </w:r>
      <w:r w:rsidR="006E1C3C" w:rsidRPr="00C319AB">
        <w:rPr>
          <w:rFonts w:cstheme="minorHAnsi"/>
        </w:rPr>
        <w:t>.</w:t>
      </w:r>
    </w:p>
    <w:p w:rsidR="00A30BE9" w:rsidRPr="00C319AB" w:rsidRDefault="00A30BE9" w:rsidP="00A30BE9">
      <w:pPr>
        <w:pStyle w:val="NoSpacing"/>
        <w:rPr>
          <w:rFonts w:cstheme="minorHAnsi"/>
        </w:rPr>
      </w:pPr>
    </w:p>
    <w:p w:rsidR="00A30BE9" w:rsidRPr="00C319AB" w:rsidRDefault="00A30BE9" w:rsidP="00A30BE9">
      <w:pPr>
        <w:pStyle w:val="NoSpacing"/>
        <w:rPr>
          <w:rFonts w:cstheme="minorHAnsi"/>
        </w:rPr>
      </w:pPr>
      <w:r w:rsidRPr="00C319AB">
        <w:rPr>
          <w:rFonts w:cstheme="minorHAnsi"/>
        </w:rPr>
        <w:t xml:space="preserve">Services Documentation: </w:t>
      </w:r>
    </w:p>
    <w:p w:rsidR="00A30BE9" w:rsidRPr="00C319AB" w:rsidRDefault="00A30BE9" w:rsidP="00C43E61">
      <w:pPr>
        <w:pStyle w:val="NoSpacing"/>
        <w:numPr>
          <w:ilvl w:val="0"/>
          <w:numId w:val="4"/>
        </w:numPr>
        <w:rPr>
          <w:rFonts w:cstheme="minorHAnsi"/>
        </w:rPr>
      </w:pPr>
      <w:r w:rsidRPr="00C319AB">
        <w:rPr>
          <w:rFonts w:cstheme="minorHAnsi"/>
        </w:rPr>
        <w:t>The provider shall perform and document the Intervention, Treatment, and Recovery Support services provided in accordance with Illinois Administrative Code 2060 /Section 2060.325 Patient/Client Records</w:t>
      </w:r>
      <w:r w:rsidR="00C43E61" w:rsidRPr="00C319AB">
        <w:rPr>
          <w:rFonts w:cstheme="minorHAnsi"/>
        </w:rPr>
        <w:t>. (Part</w:t>
      </w:r>
      <w:r w:rsidRPr="00C319AB">
        <w:rPr>
          <w:rFonts w:cstheme="minorHAnsi"/>
        </w:rPr>
        <w:t xml:space="preserve"> 2060)  </w:t>
      </w:r>
    </w:p>
    <w:p w:rsidR="00A30BE9" w:rsidRPr="00C319AB" w:rsidRDefault="00A30BE9" w:rsidP="00A30BE9">
      <w:pPr>
        <w:pStyle w:val="NoSpacing"/>
        <w:rPr>
          <w:rFonts w:cstheme="minorHAnsi"/>
        </w:rPr>
      </w:pPr>
    </w:p>
    <w:p w:rsidR="00A30BE9" w:rsidRPr="00C319AB" w:rsidRDefault="00A30BE9" w:rsidP="00C43E61">
      <w:pPr>
        <w:pStyle w:val="NoSpacing"/>
        <w:numPr>
          <w:ilvl w:val="0"/>
          <w:numId w:val="4"/>
        </w:numPr>
        <w:rPr>
          <w:rFonts w:cstheme="minorHAnsi"/>
        </w:rPr>
      </w:pPr>
      <w:r w:rsidRPr="00C319AB">
        <w:rPr>
          <w:rFonts w:cstheme="minorHAnsi"/>
        </w:rPr>
        <w:t xml:space="preserve">Recovery Support and Community Services that cannot </w:t>
      </w:r>
      <w:r w:rsidR="006E1C3C" w:rsidRPr="00C319AB">
        <w:rPr>
          <w:rFonts w:cstheme="minorHAnsi"/>
        </w:rPr>
        <w:t xml:space="preserve">be </w:t>
      </w:r>
      <w:r w:rsidRPr="00C319AB">
        <w:rPr>
          <w:rFonts w:cstheme="minorHAnsi"/>
        </w:rPr>
        <w:t xml:space="preserve">separately documented shall be documented in activity logs. </w:t>
      </w:r>
    </w:p>
    <w:p w:rsidR="00A30BE9" w:rsidRPr="00C319AB" w:rsidRDefault="00A30BE9" w:rsidP="00A30BE9">
      <w:pPr>
        <w:pStyle w:val="NoSpacing"/>
        <w:rPr>
          <w:rFonts w:cstheme="minorHAnsi"/>
        </w:rPr>
      </w:pPr>
    </w:p>
    <w:p w:rsidR="00A30BE9" w:rsidRPr="00C319AB" w:rsidRDefault="00A30BE9" w:rsidP="00A30BE9">
      <w:pPr>
        <w:pStyle w:val="NoSpacing"/>
        <w:rPr>
          <w:rFonts w:cstheme="minorHAnsi"/>
          <w:u w:val="single"/>
        </w:rPr>
      </w:pPr>
      <w:r w:rsidRPr="00C319AB">
        <w:rPr>
          <w:rFonts w:cstheme="minorHAnsi"/>
          <w:u w:val="single"/>
        </w:rPr>
        <w:t xml:space="preserve">Special Conditions/issues: </w:t>
      </w:r>
      <w:r w:rsidR="00C43E61" w:rsidRPr="00C319AB">
        <w:rPr>
          <w:rFonts w:cstheme="minorHAnsi"/>
          <w:u w:val="single"/>
        </w:rPr>
        <w:br/>
      </w:r>
    </w:p>
    <w:p w:rsidR="005254B2" w:rsidRPr="00C319AB" w:rsidRDefault="00A30BE9" w:rsidP="00A30BE9">
      <w:pPr>
        <w:pStyle w:val="NoSpacing"/>
        <w:rPr>
          <w:rFonts w:cstheme="minorHAnsi"/>
        </w:rPr>
      </w:pPr>
      <w:r w:rsidRPr="00C319AB">
        <w:rPr>
          <w:rFonts w:cstheme="minorHAnsi"/>
        </w:rPr>
        <w:t xml:space="preserve">All services reporting and documentation is subject to compliance monitoring by </w:t>
      </w:r>
      <w:r w:rsidR="00C43E61" w:rsidRPr="00C319AB">
        <w:rPr>
          <w:rFonts w:cstheme="minorHAnsi"/>
        </w:rPr>
        <w:t>IDHS/</w:t>
      </w:r>
      <w:r w:rsidRPr="00C319AB">
        <w:rPr>
          <w:rFonts w:cstheme="minorHAnsi"/>
        </w:rPr>
        <w:t>DASA staff upon their request.</w:t>
      </w:r>
    </w:p>
    <w:p w:rsidR="003831D6" w:rsidRPr="00C319AB" w:rsidRDefault="003831D6" w:rsidP="003831D6">
      <w:pPr>
        <w:pStyle w:val="NoSpacing"/>
        <w:rPr>
          <w:rFonts w:cstheme="minorHAnsi"/>
        </w:rPr>
      </w:pPr>
    </w:p>
    <w:p w:rsidR="001069C5" w:rsidRPr="00C319AB" w:rsidRDefault="001069C5" w:rsidP="001069C5">
      <w:pPr>
        <w:rPr>
          <w:rFonts w:cstheme="minorHAnsi"/>
          <w:u w:val="single"/>
        </w:rPr>
      </w:pPr>
      <w:r w:rsidRPr="00C319AB">
        <w:rPr>
          <w:rFonts w:cstheme="minorHAnsi"/>
          <w:u w:val="single"/>
        </w:rPr>
        <w:t xml:space="preserve">Quarterly: </w:t>
      </w:r>
    </w:p>
    <w:p w:rsidR="001069C5" w:rsidRPr="00C319AB" w:rsidRDefault="001069C5" w:rsidP="00C43E61">
      <w:pPr>
        <w:spacing w:after="0" w:line="240" w:lineRule="auto"/>
        <w:ind w:firstLine="720"/>
        <w:rPr>
          <w:rFonts w:cstheme="minorHAnsi"/>
          <w:highlight w:val="yellow"/>
        </w:rPr>
      </w:pPr>
      <w:r w:rsidRPr="00C319AB">
        <w:rPr>
          <w:rFonts w:cstheme="minorHAnsi"/>
        </w:rPr>
        <w:t xml:space="preserve">1) </w:t>
      </w:r>
      <w:r w:rsidRPr="00C319AB">
        <w:rPr>
          <w:rFonts w:cstheme="minorHAnsi"/>
          <w:highlight w:val="yellow"/>
        </w:rPr>
        <w:t>Reconcile Mobius reports at least quarterly for:</w:t>
      </w:r>
    </w:p>
    <w:p w:rsidR="001069C5" w:rsidRPr="00C319AB" w:rsidRDefault="001069C5" w:rsidP="00C43E61">
      <w:pPr>
        <w:spacing w:after="0" w:line="240" w:lineRule="auto"/>
        <w:ind w:left="720" w:firstLine="720"/>
        <w:rPr>
          <w:rFonts w:cstheme="minorHAnsi"/>
          <w:highlight w:val="yellow"/>
        </w:rPr>
      </w:pPr>
      <w:r w:rsidRPr="00C319AB">
        <w:rPr>
          <w:rFonts w:cstheme="minorHAnsi"/>
          <w:highlight w:val="yellow"/>
        </w:rPr>
        <w:t xml:space="preserve">- </w:t>
      </w:r>
      <w:r w:rsidR="00C43E61" w:rsidRPr="00C319AB">
        <w:rPr>
          <w:rFonts w:cstheme="minorHAnsi"/>
          <w:highlight w:val="yellow"/>
        </w:rPr>
        <w:t>Earnings</w:t>
      </w:r>
      <w:r w:rsidRPr="00C319AB">
        <w:rPr>
          <w:rFonts w:cstheme="minorHAnsi"/>
          <w:highlight w:val="yellow"/>
        </w:rPr>
        <w:t xml:space="preserve"> accepted with earnings reported </w:t>
      </w:r>
    </w:p>
    <w:p w:rsidR="001069C5" w:rsidRPr="00C319AB" w:rsidRDefault="001069C5" w:rsidP="00C43E61">
      <w:pPr>
        <w:spacing w:after="0" w:line="240" w:lineRule="auto"/>
        <w:ind w:left="720" w:firstLine="720"/>
        <w:rPr>
          <w:rFonts w:cstheme="minorHAnsi"/>
          <w:highlight w:val="yellow"/>
        </w:rPr>
      </w:pPr>
      <w:r w:rsidRPr="00C319AB">
        <w:rPr>
          <w:rFonts w:cstheme="minorHAnsi"/>
          <w:highlight w:val="yellow"/>
        </w:rPr>
        <w:t xml:space="preserve">- </w:t>
      </w:r>
      <w:r w:rsidR="00C43E61" w:rsidRPr="00C319AB">
        <w:rPr>
          <w:rFonts w:cstheme="minorHAnsi"/>
          <w:highlight w:val="yellow"/>
        </w:rPr>
        <w:t>Openings</w:t>
      </w:r>
      <w:r w:rsidRPr="00C319AB">
        <w:rPr>
          <w:rFonts w:cstheme="minorHAnsi"/>
          <w:highlight w:val="yellow"/>
        </w:rPr>
        <w:t xml:space="preserve"> submitted with openings accepted</w:t>
      </w:r>
    </w:p>
    <w:p w:rsidR="001069C5" w:rsidRPr="00C319AB" w:rsidRDefault="001069C5" w:rsidP="001069C5">
      <w:pPr>
        <w:spacing w:after="0" w:line="240" w:lineRule="auto"/>
        <w:rPr>
          <w:rFonts w:cstheme="minorHAnsi"/>
          <w:highlight w:val="yellow"/>
        </w:rPr>
      </w:pPr>
    </w:p>
    <w:p w:rsidR="001069C5" w:rsidRPr="00C319AB" w:rsidRDefault="001069C5" w:rsidP="00C43E61">
      <w:pPr>
        <w:spacing w:after="0" w:line="240" w:lineRule="auto"/>
        <w:ind w:firstLine="720"/>
        <w:rPr>
          <w:rFonts w:cstheme="minorHAnsi"/>
          <w:highlight w:val="yellow"/>
        </w:rPr>
      </w:pPr>
      <w:r w:rsidRPr="00C319AB">
        <w:rPr>
          <w:rFonts w:cstheme="minorHAnsi"/>
          <w:highlight w:val="yellow"/>
        </w:rPr>
        <w:t>2) Submit DHS DASA billing (DARTS and Manual Billing) on a monthly basis as defined in the UGA</w:t>
      </w:r>
    </w:p>
    <w:p w:rsidR="001069C5" w:rsidRPr="00C319AB" w:rsidRDefault="001069C5" w:rsidP="001069C5">
      <w:pPr>
        <w:spacing w:after="0" w:line="240" w:lineRule="auto"/>
        <w:rPr>
          <w:rFonts w:cstheme="minorHAnsi"/>
          <w:highlight w:val="yellow"/>
        </w:rPr>
      </w:pPr>
    </w:p>
    <w:p w:rsidR="001069C5" w:rsidRPr="00C319AB" w:rsidRDefault="001069C5" w:rsidP="00C43E61">
      <w:pPr>
        <w:spacing w:after="0" w:line="240" w:lineRule="auto"/>
        <w:ind w:left="720"/>
        <w:rPr>
          <w:rFonts w:cstheme="minorHAnsi"/>
          <w:highlight w:val="yellow"/>
        </w:rPr>
      </w:pPr>
      <w:r w:rsidRPr="00C319AB">
        <w:rPr>
          <w:rFonts w:cstheme="minorHAnsi"/>
          <w:highlight w:val="yellow"/>
        </w:rPr>
        <w:t xml:space="preserve">3) Submit Award related reported earnings /expenditures that are quarterly reconciled to be within 15% of the required  “year to date” earnings </w:t>
      </w:r>
    </w:p>
    <w:p w:rsidR="001069C5" w:rsidRPr="00C319AB" w:rsidRDefault="001069C5" w:rsidP="001069C5">
      <w:pPr>
        <w:spacing w:after="0" w:line="240" w:lineRule="auto"/>
        <w:rPr>
          <w:rFonts w:cstheme="minorHAnsi"/>
          <w:highlight w:val="yellow"/>
        </w:rPr>
      </w:pPr>
    </w:p>
    <w:p w:rsidR="001069C5" w:rsidRPr="00C319AB" w:rsidRDefault="001069C5" w:rsidP="00C43E61">
      <w:pPr>
        <w:spacing w:after="0" w:line="240" w:lineRule="auto"/>
        <w:ind w:firstLine="720"/>
        <w:rPr>
          <w:rFonts w:cstheme="minorHAnsi"/>
          <w:highlight w:val="yellow"/>
        </w:rPr>
      </w:pPr>
      <w:r w:rsidRPr="00C319AB">
        <w:rPr>
          <w:rFonts w:cstheme="minorHAnsi"/>
          <w:highlight w:val="yellow"/>
        </w:rPr>
        <w:t xml:space="preserve">4) Serve a number of clients equal to 25% of the annual clients projected for this quarter </w:t>
      </w:r>
    </w:p>
    <w:p w:rsidR="001069C5" w:rsidRPr="00C319AB" w:rsidRDefault="001069C5" w:rsidP="001069C5">
      <w:pPr>
        <w:spacing w:after="0" w:line="240" w:lineRule="auto"/>
        <w:rPr>
          <w:rFonts w:cstheme="minorHAnsi"/>
          <w:b/>
          <w:highlight w:val="yellow"/>
        </w:rPr>
      </w:pPr>
    </w:p>
    <w:p w:rsidR="001069C5" w:rsidRPr="00C319AB" w:rsidRDefault="001069C5" w:rsidP="00C43E61">
      <w:pPr>
        <w:spacing w:after="0" w:line="240" w:lineRule="auto"/>
        <w:ind w:firstLine="720"/>
        <w:rPr>
          <w:rFonts w:cstheme="minorHAnsi"/>
          <w:highlight w:val="yellow"/>
        </w:rPr>
      </w:pPr>
      <w:r w:rsidRPr="00C319AB">
        <w:rPr>
          <w:rFonts w:cstheme="minorHAnsi"/>
          <w:highlight w:val="yellow"/>
        </w:rPr>
        <w:t xml:space="preserve">5) Maintain the agency “in good standing” with DHS DASA contract compliance reviews  </w:t>
      </w:r>
    </w:p>
    <w:p w:rsidR="001069C5" w:rsidRPr="00C319AB" w:rsidRDefault="001069C5" w:rsidP="001069C5">
      <w:pPr>
        <w:spacing w:after="0" w:line="240" w:lineRule="auto"/>
        <w:rPr>
          <w:rFonts w:cstheme="minorHAnsi"/>
          <w:highlight w:val="yellow"/>
        </w:rPr>
      </w:pPr>
      <w:r w:rsidRPr="00C319AB">
        <w:rPr>
          <w:rFonts w:cstheme="minorHAnsi"/>
        </w:rPr>
        <w:tab/>
      </w:r>
      <w:r w:rsidR="00C43E61" w:rsidRPr="00C319AB">
        <w:rPr>
          <w:rFonts w:cstheme="minorHAnsi"/>
        </w:rPr>
        <w:tab/>
      </w:r>
      <w:r w:rsidRPr="00C319AB">
        <w:rPr>
          <w:rFonts w:cstheme="minorHAnsi"/>
          <w:highlight w:val="yellow"/>
        </w:rPr>
        <w:t xml:space="preserve">-rule compliance </w:t>
      </w:r>
    </w:p>
    <w:p w:rsidR="001069C5" w:rsidRPr="00C319AB" w:rsidRDefault="00C43E61" w:rsidP="001069C5">
      <w:pPr>
        <w:spacing w:after="0" w:line="240" w:lineRule="auto"/>
        <w:rPr>
          <w:rFonts w:cstheme="minorHAnsi"/>
          <w:highlight w:val="yellow"/>
        </w:rPr>
      </w:pPr>
      <w:r w:rsidRPr="00C319AB">
        <w:rPr>
          <w:rFonts w:cstheme="minorHAnsi"/>
        </w:rPr>
        <w:tab/>
      </w:r>
      <w:r w:rsidR="001069C5" w:rsidRPr="00C319AB">
        <w:rPr>
          <w:rFonts w:cstheme="minorHAnsi"/>
        </w:rPr>
        <w:tab/>
      </w:r>
      <w:r w:rsidR="001069C5" w:rsidRPr="00C319AB">
        <w:rPr>
          <w:rFonts w:cstheme="minorHAnsi"/>
          <w:highlight w:val="yellow"/>
        </w:rPr>
        <w:t>-contract compliance</w:t>
      </w:r>
    </w:p>
    <w:p w:rsidR="001069C5" w:rsidRPr="00C319AB" w:rsidRDefault="001069C5" w:rsidP="001069C5">
      <w:pPr>
        <w:spacing w:after="0" w:line="240" w:lineRule="auto"/>
        <w:rPr>
          <w:rFonts w:cstheme="minorHAnsi"/>
          <w:highlight w:val="yellow"/>
        </w:rPr>
      </w:pPr>
      <w:r w:rsidRPr="00C319AB">
        <w:rPr>
          <w:rFonts w:cstheme="minorHAnsi"/>
        </w:rPr>
        <w:tab/>
      </w:r>
      <w:r w:rsidR="00C43E61" w:rsidRPr="00C319AB">
        <w:rPr>
          <w:rFonts w:cstheme="minorHAnsi"/>
        </w:rPr>
        <w:tab/>
      </w:r>
      <w:r w:rsidRPr="00C319AB">
        <w:rPr>
          <w:rFonts w:cstheme="minorHAnsi"/>
          <w:highlight w:val="yellow"/>
        </w:rPr>
        <w:t>-OMB circular reviews</w:t>
      </w:r>
    </w:p>
    <w:p w:rsidR="001069C5" w:rsidRPr="00C319AB" w:rsidRDefault="00C43E61" w:rsidP="001069C5">
      <w:pPr>
        <w:spacing w:after="0" w:line="240" w:lineRule="auto"/>
        <w:rPr>
          <w:rFonts w:cstheme="minorHAnsi"/>
        </w:rPr>
      </w:pPr>
      <w:r w:rsidRPr="00C319AB">
        <w:rPr>
          <w:rFonts w:cstheme="minorHAnsi"/>
        </w:rPr>
        <w:tab/>
      </w:r>
      <w:r w:rsidR="001069C5" w:rsidRPr="00C319AB">
        <w:rPr>
          <w:rFonts w:cstheme="minorHAnsi"/>
        </w:rPr>
        <w:tab/>
      </w:r>
      <w:r w:rsidR="001069C5" w:rsidRPr="00C319AB">
        <w:rPr>
          <w:rFonts w:cstheme="minorHAnsi"/>
          <w:highlight w:val="yellow"/>
        </w:rPr>
        <w:t>-annual audit compliance</w:t>
      </w:r>
    </w:p>
    <w:p w:rsidR="001069C5" w:rsidRPr="00C319AB" w:rsidRDefault="001069C5" w:rsidP="001069C5">
      <w:pPr>
        <w:spacing w:after="0" w:line="240" w:lineRule="auto"/>
        <w:rPr>
          <w:rFonts w:cstheme="minorHAnsi"/>
        </w:rPr>
      </w:pPr>
    </w:p>
    <w:p w:rsidR="001069C5" w:rsidRPr="00C319AB" w:rsidRDefault="001069C5" w:rsidP="001069C5">
      <w:pPr>
        <w:spacing w:after="0" w:line="240" w:lineRule="auto"/>
        <w:rPr>
          <w:rFonts w:cstheme="minorHAnsi"/>
          <w:u w:val="single"/>
        </w:rPr>
      </w:pPr>
      <w:r w:rsidRPr="00C319AB">
        <w:rPr>
          <w:rFonts w:cstheme="minorHAnsi"/>
          <w:u w:val="single"/>
        </w:rPr>
        <w:t xml:space="preserve">Annually: </w:t>
      </w:r>
    </w:p>
    <w:p w:rsidR="001069C5" w:rsidRPr="00C319AB" w:rsidRDefault="001069C5" w:rsidP="001069C5">
      <w:pPr>
        <w:pStyle w:val="ListParagraph"/>
        <w:spacing w:after="0" w:line="240" w:lineRule="auto"/>
        <w:rPr>
          <w:rFonts w:cstheme="minorHAnsi"/>
        </w:rPr>
      </w:pPr>
      <w:r w:rsidRPr="00C319AB">
        <w:rPr>
          <w:rFonts w:cstheme="minorHAnsi"/>
          <w:highlight w:val="yellow"/>
        </w:rPr>
        <w:t>Submit the DHS DASA Annual Certification plan survey material within required time line</w:t>
      </w:r>
    </w:p>
    <w:p w:rsidR="001069C5" w:rsidRPr="00C319AB" w:rsidRDefault="001069C5" w:rsidP="001069C5">
      <w:pPr>
        <w:spacing w:after="0" w:line="240" w:lineRule="auto"/>
        <w:rPr>
          <w:rFonts w:cstheme="minorHAnsi"/>
        </w:rPr>
      </w:pPr>
    </w:p>
    <w:p w:rsidR="001069C5" w:rsidRPr="00C319AB" w:rsidRDefault="001069C5" w:rsidP="003831D6">
      <w:pPr>
        <w:pStyle w:val="NoSpacing"/>
        <w:rPr>
          <w:rFonts w:cstheme="minorHAnsi"/>
        </w:rPr>
      </w:pPr>
    </w:p>
    <w:p w:rsidR="00C319AB" w:rsidRPr="00C319AB" w:rsidRDefault="00C319AB" w:rsidP="00C319AB">
      <w:pPr>
        <w:pStyle w:val="NoSpacing"/>
        <w:rPr>
          <w:rFonts w:cstheme="minorHAnsi"/>
          <w:b/>
          <w:u w:val="single"/>
        </w:rPr>
      </w:pPr>
      <w:r w:rsidRPr="00C319AB">
        <w:rPr>
          <w:rFonts w:cstheme="minorHAnsi"/>
          <w:b/>
          <w:u w:val="single"/>
        </w:rPr>
        <w:t>Exhibit C</w:t>
      </w:r>
    </w:p>
    <w:p w:rsidR="00C319AB" w:rsidRPr="00C319AB" w:rsidRDefault="00C319AB" w:rsidP="00C319AB">
      <w:pPr>
        <w:pStyle w:val="NoSpacing"/>
        <w:rPr>
          <w:rFonts w:cstheme="minorHAnsi"/>
          <w:b/>
        </w:rPr>
      </w:pPr>
      <w:r w:rsidRPr="00C319AB">
        <w:rPr>
          <w:rFonts w:cstheme="minorHAnsi"/>
          <w:b/>
        </w:rPr>
        <w:t>Payment Terms</w:t>
      </w:r>
    </w:p>
    <w:p w:rsidR="00C319AB" w:rsidRPr="00C319AB" w:rsidRDefault="00C319AB" w:rsidP="00C319AB">
      <w:pPr>
        <w:pStyle w:val="NoSpacing"/>
        <w:rPr>
          <w:rFonts w:cstheme="minorHAnsi"/>
          <w:b/>
          <w:u w:val="single"/>
        </w:rPr>
      </w:pPr>
    </w:p>
    <w:p w:rsidR="00C319AB" w:rsidRPr="00C319AB" w:rsidRDefault="00C319AB" w:rsidP="00C319AB">
      <w:pPr>
        <w:pStyle w:val="NoSpacing"/>
        <w:rPr>
          <w:rFonts w:cstheme="minorHAnsi"/>
        </w:rPr>
      </w:pPr>
      <w:r w:rsidRPr="00C319AB">
        <w:rPr>
          <w:rFonts w:cstheme="minorHAnsi"/>
        </w:rPr>
        <w:t>What is the payment method?</w:t>
      </w:r>
      <w:r w:rsidRPr="00C319AB">
        <w:rPr>
          <w:rFonts w:cstheme="minorHAnsi"/>
        </w:rPr>
        <w:br/>
      </w:r>
    </w:p>
    <w:p w:rsidR="00C319AB" w:rsidRPr="00C319AB" w:rsidRDefault="00C319AB" w:rsidP="00C319AB">
      <w:pPr>
        <w:pStyle w:val="NoSpacing"/>
        <w:rPr>
          <w:rFonts w:cstheme="minorHAnsi"/>
        </w:rPr>
      </w:pPr>
      <w:r w:rsidRPr="00C319AB">
        <w:rPr>
          <w:rFonts w:cstheme="minorHAnsi"/>
        </w:rPr>
        <w:t xml:space="preserve">The payment method for this award is post services provision Grant-Fixed Rate payments based upon accepted DHS DARTS services year to date earnings. </w:t>
      </w:r>
    </w:p>
    <w:p w:rsidR="00C319AB" w:rsidRPr="00C319AB" w:rsidRDefault="00C319AB" w:rsidP="00C319AB">
      <w:pPr>
        <w:pStyle w:val="NoSpacing"/>
        <w:rPr>
          <w:rFonts w:cstheme="minorHAnsi"/>
        </w:rPr>
      </w:pPr>
    </w:p>
    <w:p w:rsidR="00C319AB" w:rsidRPr="00C319AB" w:rsidRDefault="00C319AB" w:rsidP="00C319AB">
      <w:pPr>
        <w:pStyle w:val="NoSpacing"/>
        <w:rPr>
          <w:rFonts w:cstheme="minorHAnsi"/>
        </w:rPr>
      </w:pPr>
      <w:r w:rsidRPr="00C319AB">
        <w:rPr>
          <w:rFonts w:cstheme="minorHAnsi"/>
        </w:rPr>
        <w:t xml:space="preserve">Rates to be utilized: </w:t>
      </w:r>
    </w:p>
    <w:p w:rsidR="00C319AB" w:rsidRPr="00C319AB" w:rsidRDefault="00C319AB" w:rsidP="00C319AB">
      <w:pPr>
        <w:pStyle w:val="NoSpacing"/>
        <w:rPr>
          <w:rFonts w:cstheme="minorHAnsi"/>
        </w:rPr>
      </w:pPr>
      <w:r w:rsidRPr="00C319AB">
        <w:rPr>
          <w:rFonts w:cstheme="minorHAnsi"/>
        </w:rPr>
        <w:t>All payments for services will be calculated based upon year to date earnings and related year to date disbursements. These calculations will employ the current rates for the services as specified in the most current version of the DHS DASA Contractual Policy Manual and DASA Exhibit 1.</w:t>
      </w:r>
    </w:p>
    <w:p w:rsidR="00C319AB" w:rsidRPr="00C319AB" w:rsidRDefault="00C319AB" w:rsidP="00C319AB">
      <w:pPr>
        <w:pStyle w:val="NoSpacing"/>
        <w:rPr>
          <w:rFonts w:cstheme="minorHAnsi"/>
        </w:rPr>
      </w:pPr>
    </w:p>
    <w:p w:rsidR="00C319AB" w:rsidRPr="00C319AB" w:rsidRDefault="00C319AB" w:rsidP="00C319AB">
      <w:pPr>
        <w:pStyle w:val="NoSpacing"/>
        <w:rPr>
          <w:rFonts w:cstheme="minorHAnsi"/>
        </w:rPr>
      </w:pPr>
      <w:r w:rsidRPr="00C319AB">
        <w:rPr>
          <w:rFonts w:cstheme="minorHAnsi"/>
        </w:rPr>
        <w:t>Provider will deliver services in accordance to the protocols in the Current Fiscal Year DASA Contractual Policy Manual Service Protocols Section 1.</w:t>
      </w:r>
    </w:p>
    <w:p w:rsidR="00C319AB" w:rsidRPr="00C319AB" w:rsidRDefault="00C319AB" w:rsidP="00C319AB">
      <w:pPr>
        <w:pStyle w:val="NoSpacing"/>
        <w:rPr>
          <w:rFonts w:cstheme="minorHAnsi"/>
        </w:rPr>
      </w:pPr>
      <w:r w:rsidRPr="00C319AB">
        <w:rPr>
          <w:rFonts w:cstheme="minorHAnsi"/>
        </w:rPr>
        <w:t xml:space="preserve">Service </w:t>
      </w:r>
      <w:r w:rsidRPr="00C319AB">
        <w:rPr>
          <w:rFonts w:cstheme="minorHAnsi"/>
        </w:rPr>
        <w:tab/>
        <w:t xml:space="preserve">Minimum Unit of Service </w:t>
      </w:r>
      <w:r w:rsidRPr="00C319AB">
        <w:rPr>
          <w:rFonts w:cstheme="minorHAnsi"/>
        </w:rPr>
        <w:tab/>
        <w:t xml:space="preserve">Code </w:t>
      </w:r>
      <w:r w:rsidRPr="00C319AB">
        <w:rPr>
          <w:rFonts w:cstheme="minorHAnsi"/>
        </w:rPr>
        <w:tab/>
        <w:t xml:space="preserve">Rate </w:t>
      </w:r>
    </w:p>
    <w:p w:rsidR="00C319AB" w:rsidRPr="00C319AB" w:rsidRDefault="00C319AB" w:rsidP="00C319AB">
      <w:pPr>
        <w:pStyle w:val="NoSpacing"/>
        <w:rPr>
          <w:rFonts w:cstheme="minorHAnsi"/>
        </w:rPr>
      </w:pPr>
      <w:r w:rsidRPr="00C319AB">
        <w:rPr>
          <w:rFonts w:cstheme="minorHAnsi"/>
        </w:rPr>
        <w:t xml:space="preserve">Admission and Discharge Assessment </w:t>
      </w:r>
      <w:r w:rsidRPr="00C319AB">
        <w:rPr>
          <w:rFonts w:cstheme="minorHAnsi"/>
        </w:rPr>
        <w:tab/>
        <w:t xml:space="preserve">Quarter Hour AAS $65.28 - per hour $16.32 - per quarter hour </w:t>
      </w:r>
    </w:p>
    <w:p w:rsidR="00C319AB" w:rsidRPr="00C319AB" w:rsidRDefault="00C319AB" w:rsidP="00C319AB">
      <w:pPr>
        <w:pStyle w:val="NoSpacing"/>
        <w:rPr>
          <w:rFonts w:cstheme="minorHAnsi"/>
        </w:rPr>
      </w:pPr>
      <w:r w:rsidRPr="00C319AB">
        <w:rPr>
          <w:rFonts w:cstheme="minorHAnsi"/>
        </w:rPr>
        <w:t xml:space="preserve">Level I (Individual) </w:t>
      </w:r>
      <w:r w:rsidRPr="00C319AB">
        <w:rPr>
          <w:rFonts w:cstheme="minorHAnsi"/>
        </w:rPr>
        <w:tab/>
        <w:t xml:space="preserve">Quarter Hour </w:t>
      </w:r>
      <w:r w:rsidRPr="00C319AB">
        <w:rPr>
          <w:rFonts w:cstheme="minorHAnsi"/>
        </w:rPr>
        <w:tab/>
        <w:t xml:space="preserve">OPI </w:t>
      </w:r>
      <w:r w:rsidRPr="00C319AB">
        <w:rPr>
          <w:rFonts w:cstheme="minorHAnsi"/>
        </w:rPr>
        <w:tab/>
        <w:t xml:space="preserve">$62.12 - per hour $15.53 - per quarter hour </w:t>
      </w:r>
    </w:p>
    <w:p w:rsidR="00C319AB" w:rsidRPr="00C319AB" w:rsidRDefault="00C319AB" w:rsidP="00C319AB">
      <w:pPr>
        <w:pStyle w:val="NoSpacing"/>
        <w:rPr>
          <w:rFonts w:cstheme="minorHAnsi"/>
        </w:rPr>
      </w:pPr>
      <w:r w:rsidRPr="00C319AB">
        <w:rPr>
          <w:rFonts w:cstheme="minorHAnsi"/>
        </w:rPr>
        <w:t xml:space="preserve">Level I (Group) </w:t>
      </w:r>
      <w:r w:rsidRPr="00C319AB">
        <w:rPr>
          <w:rFonts w:cstheme="minorHAnsi"/>
        </w:rPr>
        <w:tab/>
      </w:r>
      <w:r w:rsidRPr="00C319AB">
        <w:rPr>
          <w:rFonts w:cstheme="minorHAnsi"/>
        </w:rPr>
        <w:tab/>
        <w:t xml:space="preserve">Quarter Hour </w:t>
      </w:r>
      <w:r w:rsidRPr="00C319AB">
        <w:rPr>
          <w:rFonts w:cstheme="minorHAnsi"/>
        </w:rPr>
        <w:tab/>
        <w:t>OPG</w:t>
      </w:r>
      <w:r w:rsidRPr="00C319AB">
        <w:rPr>
          <w:rFonts w:cstheme="minorHAnsi"/>
        </w:rPr>
        <w:tab/>
        <w:t xml:space="preserve">$23.48 - per hour $5.87 - per quarter hour </w:t>
      </w:r>
    </w:p>
    <w:p w:rsidR="00C319AB" w:rsidRPr="00C319AB" w:rsidRDefault="00C319AB" w:rsidP="00C319AB">
      <w:pPr>
        <w:pStyle w:val="NoSpacing"/>
        <w:rPr>
          <w:rFonts w:cstheme="minorHAnsi"/>
        </w:rPr>
      </w:pPr>
      <w:r w:rsidRPr="00C319AB">
        <w:rPr>
          <w:rFonts w:cstheme="minorHAnsi"/>
        </w:rPr>
        <w:t xml:space="preserve">Level II (Individual) </w:t>
      </w:r>
      <w:r w:rsidRPr="00C319AB">
        <w:rPr>
          <w:rFonts w:cstheme="minorHAnsi"/>
        </w:rPr>
        <w:tab/>
        <w:t xml:space="preserve">Quarter Hour </w:t>
      </w:r>
      <w:r w:rsidRPr="00C319AB">
        <w:rPr>
          <w:rFonts w:cstheme="minorHAnsi"/>
        </w:rPr>
        <w:tab/>
        <w:t xml:space="preserve">IOI </w:t>
      </w:r>
      <w:r w:rsidRPr="00C319AB">
        <w:rPr>
          <w:rFonts w:cstheme="minorHAnsi"/>
        </w:rPr>
        <w:tab/>
        <w:t xml:space="preserve">$62.12 - per hour $15.53 - per quarter hour </w:t>
      </w:r>
    </w:p>
    <w:p w:rsidR="00C319AB" w:rsidRPr="00C319AB" w:rsidRDefault="00C319AB" w:rsidP="00C319AB">
      <w:pPr>
        <w:pStyle w:val="NoSpacing"/>
        <w:rPr>
          <w:rFonts w:cstheme="minorHAnsi"/>
        </w:rPr>
      </w:pPr>
      <w:r w:rsidRPr="00C319AB">
        <w:rPr>
          <w:rFonts w:cstheme="minorHAnsi"/>
        </w:rPr>
        <w:t xml:space="preserve">Level II (Group) </w:t>
      </w:r>
      <w:r w:rsidRPr="00C319AB">
        <w:rPr>
          <w:rFonts w:cstheme="minorHAnsi"/>
        </w:rPr>
        <w:tab/>
        <w:t xml:space="preserve">Quarter Hour </w:t>
      </w:r>
      <w:r w:rsidRPr="00C319AB">
        <w:rPr>
          <w:rFonts w:cstheme="minorHAnsi"/>
        </w:rPr>
        <w:tab/>
        <w:t>IOG</w:t>
      </w:r>
      <w:r w:rsidRPr="00C319AB">
        <w:rPr>
          <w:rFonts w:cstheme="minorHAnsi"/>
        </w:rPr>
        <w:tab/>
        <w:t xml:space="preserve">$23.48 - per hour $5.87 - per quarter hour </w:t>
      </w:r>
    </w:p>
    <w:p w:rsidR="00C319AB" w:rsidRPr="00C319AB" w:rsidRDefault="00C319AB" w:rsidP="00C319AB">
      <w:pPr>
        <w:pStyle w:val="NoSpacing"/>
        <w:rPr>
          <w:rFonts w:cstheme="minorHAnsi"/>
        </w:rPr>
      </w:pPr>
      <w:r w:rsidRPr="00C319AB">
        <w:rPr>
          <w:rFonts w:cstheme="minorHAnsi"/>
        </w:rPr>
        <w:t xml:space="preserve">Level III.1 </w:t>
      </w:r>
      <w:r w:rsidRPr="00C319AB">
        <w:rPr>
          <w:rFonts w:cstheme="minorHAnsi"/>
        </w:rPr>
        <w:tab/>
      </w:r>
      <w:r w:rsidRPr="00C319AB">
        <w:rPr>
          <w:rFonts w:cstheme="minorHAnsi"/>
        </w:rPr>
        <w:tab/>
        <w:t xml:space="preserve">Daily </w:t>
      </w:r>
      <w:r w:rsidRPr="00C319AB">
        <w:rPr>
          <w:rFonts w:cstheme="minorHAnsi"/>
        </w:rPr>
        <w:tab/>
        <w:t xml:space="preserve">HH </w:t>
      </w:r>
      <w:r w:rsidRPr="00C319AB">
        <w:rPr>
          <w:rFonts w:cstheme="minorHAnsi"/>
        </w:rPr>
        <w:tab/>
        <w:t xml:space="preserve">$66.81 </w:t>
      </w:r>
    </w:p>
    <w:p w:rsidR="00C319AB" w:rsidRPr="00C319AB" w:rsidRDefault="00C319AB" w:rsidP="00C319AB">
      <w:pPr>
        <w:pStyle w:val="NoSpacing"/>
        <w:rPr>
          <w:rFonts w:cstheme="minorHAnsi"/>
        </w:rPr>
      </w:pPr>
      <w:r w:rsidRPr="00C319AB">
        <w:rPr>
          <w:rFonts w:cstheme="minorHAnsi"/>
        </w:rPr>
        <w:t xml:space="preserve">Level III (Detoxification) Daily </w:t>
      </w:r>
      <w:r w:rsidRPr="00C319AB">
        <w:rPr>
          <w:rFonts w:cstheme="minorHAnsi"/>
        </w:rPr>
        <w:tab/>
        <w:t xml:space="preserve">DX </w:t>
      </w:r>
      <w:r w:rsidRPr="00C319AB">
        <w:rPr>
          <w:rFonts w:cstheme="minorHAnsi"/>
        </w:rPr>
        <w:tab/>
        <w:t xml:space="preserve">Provider Specific </w:t>
      </w:r>
    </w:p>
    <w:p w:rsidR="00C319AB" w:rsidRPr="00C319AB" w:rsidRDefault="00C319AB" w:rsidP="00C319AB">
      <w:pPr>
        <w:pStyle w:val="NoSpacing"/>
        <w:rPr>
          <w:rFonts w:cstheme="minorHAnsi"/>
        </w:rPr>
      </w:pPr>
      <w:r w:rsidRPr="00C319AB">
        <w:rPr>
          <w:rFonts w:cstheme="minorHAnsi"/>
        </w:rPr>
        <w:t xml:space="preserve">Level III.5 </w:t>
      </w:r>
      <w:r w:rsidRPr="00C319AB">
        <w:rPr>
          <w:rFonts w:cstheme="minorHAnsi"/>
        </w:rPr>
        <w:tab/>
      </w:r>
      <w:r w:rsidRPr="00C319AB">
        <w:rPr>
          <w:rFonts w:cstheme="minorHAnsi"/>
        </w:rPr>
        <w:tab/>
        <w:t xml:space="preserve">Daily </w:t>
      </w:r>
      <w:r w:rsidRPr="00C319AB">
        <w:rPr>
          <w:rFonts w:cstheme="minorHAnsi"/>
        </w:rPr>
        <w:tab/>
        <w:t xml:space="preserve">RR </w:t>
      </w:r>
      <w:r w:rsidRPr="00C319AB">
        <w:rPr>
          <w:rFonts w:cstheme="minorHAnsi"/>
        </w:rPr>
        <w:tab/>
        <w:t xml:space="preserve">Provider Specific </w:t>
      </w:r>
    </w:p>
    <w:p w:rsidR="00C319AB" w:rsidRPr="00C319AB" w:rsidRDefault="00C319AB" w:rsidP="00C319AB">
      <w:pPr>
        <w:pStyle w:val="NoSpacing"/>
        <w:rPr>
          <w:rFonts w:cstheme="minorHAnsi"/>
        </w:rPr>
      </w:pPr>
      <w:r w:rsidRPr="00C319AB">
        <w:rPr>
          <w:rFonts w:cstheme="minorHAnsi"/>
        </w:rPr>
        <w:t xml:space="preserve">Case Management </w:t>
      </w:r>
      <w:r w:rsidRPr="00C319AB">
        <w:rPr>
          <w:rFonts w:cstheme="minorHAnsi"/>
        </w:rPr>
        <w:tab/>
        <w:t xml:space="preserve">Quarter Hour </w:t>
      </w:r>
      <w:r w:rsidRPr="00C319AB">
        <w:rPr>
          <w:rFonts w:cstheme="minorHAnsi"/>
        </w:rPr>
        <w:tab/>
        <w:t xml:space="preserve">CMH </w:t>
      </w:r>
      <w:r w:rsidRPr="00C319AB">
        <w:rPr>
          <w:rFonts w:cstheme="minorHAnsi"/>
        </w:rPr>
        <w:tab/>
        <w:t xml:space="preserve">$48.08 - per hour $12.02 - per quarter hour </w:t>
      </w:r>
    </w:p>
    <w:p w:rsidR="00C319AB" w:rsidRPr="00C319AB" w:rsidRDefault="00C319AB" w:rsidP="00C319AB">
      <w:pPr>
        <w:pStyle w:val="NoSpacing"/>
        <w:rPr>
          <w:rFonts w:cstheme="minorHAnsi"/>
        </w:rPr>
      </w:pPr>
      <w:r w:rsidRPr="00C319AB">
        <w:rPr>
          <w:rFonts w:cstheme="minorHAnsi"/>
        </w:rPr>
        <w:t xml:space="preserve">Psychiatric/Diagnostic </w:t>
      </w:r>
      <w:r w:rsidRPr="00C319AB">
        <w:rPr>
          <w:rFonts w:cstheme="minorHAnsi"/>
        </w:rPr>
        <w:tab/>
        <w:t xml:space="preserve">per Encounter/Per Day </w:t>
      </w:r>
      <w:r w:rsidRPr="00C319AB">
        <w:rPr>
          <w:rFonts w:cstheme="minorHAnsi"/>
        </w:rPr>
        <w:tab/>
        <w:t>PEV</w:t>
      </w:r>
      <w:r w:rsidRPr="00C319AB">
        <w:rPr>
          <w:rFonts w:cstheme="minorHAnsi"/>
        </w:rPr>
        <w:tab/>
        <w:t xml:space="preserve">$81.31 </w:t>
      </w:r>
    </w:p>
    <w:p w:rsidR="00C319AB" w:rsidRPr="00C319AB" w:rsidRDefault="00C319AB" w:rsidP="00C319AB">
      <w:pPr>
        <w:pStyle w:val="NoSpacing"/>
        <w:rPr>
          <w:rFonts w:cstheme="minorHAnsi"/>
        </w:rPr>
      </w:pPr>
      <w:r w:rsidRPr="00C319AB">
        <w:rPr>
          <w:rFonts w:cstheme="minorHAnsi"/>
        </w:rPr>
        <w:t xml:space="preserve">Early Intervention (Individual) </w:t>
      </w:r>
      <w:r w:rsidRPr="00C319AB">
        <w:rPr>
          <w:rFonts w:cstheme="minorHAnsi"/>
        </w:rPr>
        <w:tab/>
        <w:t xml:space="preserve">Quarter Hour </w:t>
      </w:r>
      <w:r w:rsidRPr="00C319AB">
        <w:rPr>
          <w:rFonts w:cstheme="minorHAnsi"/>
        </w:rPr>
        <w:tab/>
        <w:t xml:space="preserve">EII </w:t>
      </w:r>
      <w:r w:rsidRPr="00C319AB">
        <w:rPr>
          <w:rFonts w:cstheme="minorHAnsi"/>
        </w:rPr>
        <w:tab/>
        <w:t xml:space="preserve">$62.12 - per hour $15.53 - per quarter hour </w:t>
      </w:r>
    </w:p>
    <w:p w:rsidR="00C319AB" w:rsidRPr="00C319AB" w:rsidRDefault="00C319AB" w:rsidP="00C319AB">
      <w:pPr>
        <w:pStyle w:val="NoSpacing"/>
        <w:rPr>
          <w:rFonts w:cstheme="minorHAnsi"/>
        </w:rPr>
      </w:pPr>
      <w:r w:rsidRPr="00C319AB">
        <w:rPr>
          <w:rFonts w:cstheme="minorHAnsi"/>
        </w:rPr>
        <w:t xml:space="preserve">Early Intervention (Group) </w:t>
      </w:r>
      <w:r w:rsidRPr="00C319AB">
        <w:rPr>
          <w:rFonts w:cstheme="minorHAnsi"/>
        </w:rPr>
        <w:tab/>
        <w:t xml:space="preserve">Quarter Hour </w:t>
      </w:r>
      <w:r w:rsidRPr="00C319AB">
        <w:rPr>
          <w:rFonts w:cstheme="minorHAnsi"/>
        </w:rPr>
        <w:tab/>
        <w:t xml:space="preserve">EIG </w:t>
      </w:r>
      <w:r w:rsidRPr="00C319AB">
        <w:rPr>
          <w:rFonts w:cstheme="minorHAnsi"/>
        </w:rPr>
        <w:tab/>
        <w:t xml:space="preserve">$23.48 - per hour   $5.87 - per quarter hour </w:t>
      </w:r>
    </w:p>
    <w:p w:rsidR="00C319AB" w:rsidRPr="00C319AB" w:rsidRDefault="00C319AB" w:rsidP="00C319AB">
      <w:pPr>
        <w:pStyle w:val="NoSpacing"/>
        <w:rPr>
          <w:rFonts w:cstheme="minorHAnsi"/>
        </w:rPr>
      </w:pPr>
      <w:r w:rsidRPr="00C319AB">
        <w:rPr>
          <w:rFonts w:cstheme="minorHAnsi"/>
        </w:rPr>
        <w:t xml:space="preserve">Community Intervention </w:t>
      </w:r>
      <w:r w:rsidRPr="00C319AB">
        <w:rPr>
          <w:rFonts w:cstheme="minorHAnsi"/>
        </w:rPr>
        <w:tab/>
        <w:t xml:space="preserve">Quarter Hour </w:t>
      </w:r>
      <w:r w:rsidRPr="00C319AB">
        <w:rPr>
          <w:rFonts w:cstheme="minorHAnsi"/>
        </w:rPr>
        <w:tab/>
        <w:t xml:space="preserve">CIH </w:t>
      </w:r>
      <w:r w:rsidRPr="00C319AB">
        <w:rPr>
          <w:rFonts w:cstheme="minorHAnsi"/>
        </w:rPr>
        <w:tab/>
        <w:t xml:space="preserve">$46.92 - per staff hour $11.73 - per qtr. staff hr </w:t>
      </w:r>
    </w:p>
    <w:p w:rsidR="00C319AB" w:rsidRPr="00C319AB" w:rsidRDefault="00C319AB" w:rsidP="00C319AB">
      <w:pPr>
        <w:pStyle w:val="NoSpacing"/>
        <w:rPr>
          <w:rFonts w:cstheme="minorHAnsi"/>
        </w:rPr>
      </w:pPr>
    </w:p>
    <w:p w:rsidR="00C319AB" w:rsidRPr="00C319AB" w:rsidRDefault="00C319AB" w:rsidP="00C319AB">
      <w:pPr>
        <w:pStyle w:val="NoSpacing"/>
        <w:rPr>
          <w:rFonts w:cstheme="minorHAnsi"/>
        </w:rPr>
      </w:pPr>
      <w:r w:rsidRPr="00C319AB">
        <w:rPr>
          <w:rFonts w:cstheme="minorHAnsi"/>
        </w:rPr>
        <w:t>In the Current Fiscal Year DASA Contractual Policy Manual Service Protocols Section</w:t>
      </w:r>
    </w:p>
    <w:p w:rsidR="00C319AB" w:rsidRPr="00C319AB" w:rsidRDefault="00C319AB" w:rsidP="00C319AB">
      <w:pPr>
        <w:pStyle w:val="NoSpacing"/>
        <w:rPr>
          <w:rFonts w:cstheme="minorHAnsi"/>
        </w:rPr>
      </w:pPr>
      <w:r w:rsidRPr="00C319AB">
        <w:rPr>
          <w:rFonts w:cstheme="minorHAnsi"/>
        </w:rPr>
        <w:t>Provider will deliver services in accordance to the protocols Current Fiscal Year DASA Contractual Policy Manual Service Protocols Section 2 for Recovery Home Services.</w:t>
      </w:r>
    </w:p>
    <w:p w:rsidR="00C319AB" w:rsidRPr="00C319AB" w:rsidRDefault="00C319AB" w:rsidP="00C319AB">
      <w:pPr>
        <w:pStyle w:val="NoSpacing"/>
        <w:rPr>
          <w:rFonts w:cstheme="minorHAnsi"/>
        </w:rPr>
      </w:pPr>
      <w:r w:rsidRPr="00C319AB">
        <w:rPr>
          <w:rFonts w:cstheme="minorHAnsi"/>
        </w:rPr>
        <w:t xml:space="preserve">Recovery Home - Adult </w:t>
      </w:r>
      <w:r w:rsidRPr="00C319AB">
        <w:rPr>
          <w:rFonts w:cstheme="minorHAnsi"/>
        </w:rPr>
        <w:tab/>
      </w:r>
      <w:r w:rsidRPr="00C319AB">
        <w:rPr>
          <w:rFonts w:cstheme="minorHAnsi"/>
        </w:rPr>
        <w:tab/>
        <w:t xml:space="preserve">Daily </w:t>
      </w:r>
      <w:r w:rsidRPr="00C319AB">
        <w:rPr>
          <w:rFonts w:cstheme="minorHAnsi"/>
        </w:rPr>
        <w:tab/>
        <w:t xml:space="preserve">RH </w:t>
      </w:r>
      <w:r w:rsidRPr="00C319AB">
        <w:rPr>
          <w:rFonts w:cstheme="minorHAnsi"/>
        </w:rPr>
        <w:tab/>
        <w:t xml:space="preserve">$48.08 </w:t>
      </w:r>
    </w:p>
    <w:p w:rsidR="00C319AB" w:rsidRPr="00C319AB" w:rsidRDefault="00C319AB" w:rsidP="00C319AB">
      <w:pPr>
        <w:pStyle w:val="NoSpacing"/>
        <w:rPr>
          <w:rFonts w:cstheme="minorHAnsi"/>
        </w:rPr>
      </w:pPr>
      <w:r w:rsidRPr="00C319AB">
        <w:rPr>
          <w:rFonts w:cstheme="minorHAnsi"/>
        </w:rPr>
        <w:t xml:space="preserve">Recovery Home - Adolescent </w:t>
      </w:r>
      <w:r w:rsidRPr="00C319AB">
        <w:rPr>
          <w:rFonts w:cstheme="minorHAnsi"/>
        </w:rPr>
        <w:tab/>
        <w:t xml:space="preserve">Daily </w:t>
      </w:r>
      <w:r w:rsidRPr="00C319AB">
        <w:rPr>
          <w:rFonts w:cstheme="minorHAnsi"/>
        </w:rPr>
        <w:tab/>
        <w:t xml:space="preserve">RH </w:t>
      </w:r>
      <w:r w:rsidRPr="00C319AB">
        <w:rPr>
          <w:rFonts w:cstheme="minorHAnsi"/>
        </w:rPr>
        <w:tab/>
        <w:t xml:space="preserve">$122.00 </w:t>
      </w:r>
    </w:p>
    <w:p w:rsidR="00C319AB" w:rsidRPr="00C319AB" w:rsidRDefault="00C319AB" w:rsidP="00C319AB">
      <w:pPr>
        <w:pStyle w:val="NoSpacing"/>
        <w:rPr>
          <w:rFonts w:cstheme="minorHAnsi"/>
        </w:rPr>
      </w:pPr>
    </w:p>
    <w:p w:rsidR="00C319AB" w:rsidRPr="00C319AB" w:rsidRDefault="00C319AB" w:rsidP="00C319AB">
      <w:pPr>
        <w:pStyle w:val="NoSpacing"/>
        <w:rPr>
          <w:rFonts w:cstheme="minorHAnsi"/>
        </w:rPr>
      </w:pPr>
      <w:r w:rsidRPr="00C319AB">
        <w:rPr>
          <w:rFonts w:cstheme="minorHAnsi"/>
        </w:rPr>
        <w:t xml:space="preserve">Provider will deliver services in accordance to the protocols in the Current Fiscal Year DASA Contractual Policy Manual Service Protocols Section 4 for Toxicology Services. </w:t>
      </w:r>
    </w:p>
    <w:p w:rsidR="00C319AB" w:rsidRPr="00C319AB" w:rsidRDefault="00C319AB" w:rsidP="00C319AB">
      <w:pPr>
        <w:pStyle w:val="NoSpacing"/>
        <w:rPr>
          <w:rFonts w:cstheme="minorHAnsi"/>
        </w:rPr>
      </w:pPr>
      <w:r w:rsidRPr="00C319AB">
        <w:rPr>
          <w:rFonts w:cstheme="minorHAnsi"/>
        </w:rPr>
        <w:t>Toxicology per Test TOX</w:t>
      </w:r>
      <w:r w:rsidRPr="00C319AB">
        <w:rPr>
          <w:rFonts w:cstheme="minorHAnsi"/>
        </w:rPr>
        <w:tab/>
        <w:t>As specified in Applicable Exhibit 1</w:t>
      </w:r>
    </w:p>
    <w:p w:rsidR="00C319AB" w:rsidRPr="00C319AB" w:rsidRDefault="00C319AB" w:rsidP="00C319AB">
      <w:pPr>
        <w:pStyle w:val="NoSpacing"/>
        <w:rPr>
          <w:rFonts w:cstheme="minorHAnsi"/>
        </w:rPr>
      </w:pPr>
    </w:p>
    <w:p w:rsidR="00C319AB" w:rsidRPr="00C319AB" w:rsidRDefault="00C319AB" w:rsidP="00C319AB">
      <w:pPr>
        <w:pStyle w:val="NoSpacing"/>
        <w:rPr>
          <w:rFonts w:cstheme="minorHAnsi"/>
        </w:rPr>
      </w:pPr>
      <w:r w:rsidRPr="00C319AB">
        <w:rPr>
          <w:rFonts w:cstheme="minorHAnsi"/>
        </w:rPr>
        <w:t>*Provider Specific this rate is specified within the applicable Exhibit 1</w:t>
      </w:r>
    </w:p>
    <w:p w:rsidR="00C319AB" w:rsidRPr="00C319AB" w:rsidRDefault="00C319AB" w:rsidP="00C319AB">
      <w:pPr>
        <w:pStyle w:val="NoSpacing"/>
        <w:rPr>
          <w:rFonts w:cstheme="minorHAnsi"/>
        </w:rPr>
      </w:pPr>
    </w:p>
    <w:p w:rsidR="00C319AB" w:rsidRPr="00C319AB" w:rsidRDefault="00C319AB" w:rsidP="00C319AB">
      <w:pPr>
        <w:pStyle w:val="NoSpacing"/>
        <w:rPr>
          <w:rFonts w:cstheme="minorHAnsi"/>
          <w:b/>
        </w:rPr>
      </w:pPr>
      <w:r w:rsidRPr="00C319AB">
        <w:rPr>
          <w:rFonts w:cstheme="minorHAnsi"/>
          <w:b/>
        </w:rPr>
        <w:t>Deliverable Billing:</w:t>
      </w:r>
    </w:p>
    <w:p w:rsidR="00C319AB" w:rsidRPr="00C319AB" w:rsidRDefault="00C319AB" w:rsidP="00C319AB">
      <w:pPr>
        <w:pStyle w:val="NoSpacing"/>
        <w:rPr>
          <w:rFonts w:cstheme="minorHAnsi"/>
        </w:rPr>
      </w:pPr>
      <w:r w:rsidRPr="00C319AB">
        <w:rPr>
          <w:rFonts w:cstheme="minorHAnsi"/>
        </w:rPr>
        <w:t xml:space="preserve">The provider shall report Community Intervention, Intervention, Treatment, and Recovery Support services using the applicable DARTS units and program numbers as identified in the attached/revised DASA Exhibit 1. </w:t>
      </w:r>
    </w:p>
    <w:p w:rsidR="00C319AB" w:rsidRDefault="00C319AB" w:rsidP="00C319AB">
      <w:pPr>
        <w:pStyle w:val="NoSpacing"/>
        <w:rPr>
          <w:rFonts w:cstheme="minorHAnsi"/>
        </w:rPr>
      </w:pPr>
    </w:p>
    <w:p w:rsidR="00C319AB" w:rsidRPr="00C319AB" w:rsidRDefault="00C319AB" w:rsidP="00C319AB">
      <w:pPr>
        <w:pStyle w:val="NoSpacing"/>
        <w:rPr>
          <w:rFonts w:cstheme="minorHAnsi"/>
        </w:rPr>
      </w:pPr>
    </w:p>
    <w:p w:rsidR="00C319AB" w:rsidRPr="00C319AB" w:rsidRDefault="00C319AB" w:rsidP="00C319AB">
      <w:pPr>
        <w:pStyle w:val="NoSpacing"/>
        <w:rPr>
          <w:rFonts w:cstheme="minorHAnsi"/>
          <w:b/>
        </w:rPr>
      </w:pPr>
      <w:r w:rsidRPr="00C319AB">
        <w:rPr>
          <w:rFonts w:cstheme="minorHAnsi"/>
          <w:b/>
        </w:rPr>
        <w:t xml:space="preserve">Payment Processing: </w:t>
      </w:r>
    </w:p>
    <w:p w:rsidR="00C319AB" w:rsidRPr="00C319AB" w:rsidRDefault="00C319AB" w:rsidP="00C319AB">
      <w:pPr>
        <w:pStyle w:val="NoSpacing"/>
        <w:rPr>
          <w:rFonts w:cstheme="minorHAnsi"/>
        </w:rPr>
      </w:pPr>
      <w:r w:rsidRPr="00C319AB">
        <w:rPr>
          <w:rFonts w:cstheme="minorHAnsi"/>
        </w:rPr>
        <w:t>DARTS Mobius reports and year to date DARTS reporting are both generated monthly by DHS. DASA will employ the monthly DARTS processing reports for processing payments monthly. As a Fixed Rate award all payments processed for this contract are based upon DARTS accepted year to date services reporting related to services provided by the vendor.  Payments will be made based upon year to date earnings, and if applicable DHS available federal Substance Abuse Prevention and Treatment block grant needed to process the payment.</w:t>
      </w:r>
    </w:p>
    <w:p w:rsidR="00C319AB" w:rsidRPr="00C319AB" w:rsidRDefault="00C319AB" w:rsidP="00C319AB">
      <w:pPr>
        <w:pStyle w:val="NoSpacing"/>
        <w:rPr>
          <w:rFonts w:cstheme="minorHAnsi"/>
        </w:rPr>
      </w:pPr>
    </w:p>
    <w:p w:rsidR="00C319AB" w:rsidRPr="00C319AB" w:rsidRDefault="00C319AB" w:rsidP="00C319AB">
      <w:pPr>
        <w:pStyle w:val="NoSpacing"/>
        <w:rPr>
          <w:rFonts w:cstheme="minorHAnsi"/>
          <w:b/>
        </w:rPr>
      </w:pPr>
      <w:r w:rsidRPr="00C319AB">
        <w:rPr>
          <w:rFonts w:cstheme="minorHAnsi"/>
          <w:b/>
        </w:rPr>
        <w:t xml:space="preserve">Special Conditions/issues: </w:t>
      </w:r>
    </w:p>
    <w:p w:rsidR="00C319AB" w:rsidRPr="00C319AB" w:rsidRDefault="00C319AB" w:rsidP="00C319AB">
      <w:pPr>
        <w:pStyle w:val="NoSpacing"/>
        <w:rPr>
          <w:rFonts w:cstheme="minorHAnsi"/>
        </w:rPr>
      </w:pPr>
      <w:r w:rsidRPr="00C319AB">
        <w:rPr>
          <w:rFonts w:cstheme="minorHAnsi"/>
        </w:rPr>
        <w:t>All services reporting and documentation is subject to compliance monitoring by DHS DASA staff upon their request.</w:t>
      </w:r>
    </w:p>
    <w:p w:rsidR="00C319AB" w:rsidRPr="00C319AB" w:rsidRDefault="00C319AB" w:rsidP="00C319AB">
      <w:pPr>
        <w:pStyle w:val="NoSpacing"/>
        <w:rPr>
          <w:rFonts w:cstheme="minorHAnsi"/>
        </w:rPr>
      </w:pPr>
    </w:p>
    <w:p w:rsidR="00C319AB" w:rsidRPr="00C319AB" w:rsidRDefault="00C319AB" w:rsidP="00C319AB">
      <w:pPr>
        <w:pStyle w:val="NoSpacing"/>
        <w:rPr>
          <w:rFonts w:cstheme="minorHAnsi"/>
        </w:rPr>
      </w:pPr>
      <w:r w:rsidRPr="00C319AB">
        <w:rPr>
          <w:rFonts w:cstheme="minorHAnsi"/>
        </w:rPr>
        <w:t>Special Fiscal Requirements:</w:t>
      </w:r>
    </w:p>
    <w:p w:rsidR="00C319AB" w:rsidRPr="00C319AB" w:rsidRDefault="00C319AB" w:rsidP="00C319AB">
      <w:pPr>
        <w:pStyle w:val="NoSpacing"/>
        <w:rPr>
          <w:rFonts w:cstheme="minorHAnsi"/>
        </w:rPr>
      </w:pPr>
      <w:r w:rsidRPr="00C319AB">
        <w:rPr>
          <w:rFonts w:cstheme="minorHAnsi"/>
        </w:rPr>
        <w:t>The provider must adhere to all fiscal required related to federal funding. These requirements are found within the Catalog of Federal and Domestic Assistance (CFDA). The applicable CFDA number for the DASA funded HIV testing and counseling services is CFDA # 93.959.</w:t>
      </w:r>
    </w:p>
    <w:p w:rsidR="005254B2" w:rsidRPr="00C319AB" w:rsidRDefault="005254B2" w:rsidP="005254B2">
      <w:pPr>
        <w:pStyle w:val="NoSpacing"/>
        <w:rPr>
          <w:rFonts w:cstheme="minorHAnsi"/>
        </w:rPr>
      </w:pPr>
    </w:p>
    <w:p w:rsidR="001069C5" w:rsidRPr="00C319AB" w:rsidRDefault="001069C5" w:rsidP="005254B2">
      <w:pPr>
        <w:pStyle w:val="NoSpacing"/>
        <w:rPr>
          <w:rFonts w:cstheme="minorHAnsi"/>
        </w:rPr>
      </w:pPr>
    </w:p>
    <w:p w:rsidR="00C43E61" w:rsidRPr="00C319AB" w:rsidRDefault="005254B2" w:rsidP="005254B2">
      <w:pPr>
        <w:pStyle w:val="NoSpacing"/>
        <w:rPr>
          <w:rFonts w:cstheme="minorHAnsi"/>
          <w:b/>
          <w:u w:val="single"/>
        </w:rPr>
      </w:pPr>
      <w:r w:rsidRPr="00C319AB">
        <w:rPr>
          <w:rFonts w:cstheme="minorHAnsi"/>
          <w:b/>
          <w:u w:val="single"/>
        </w:rPr>
        <w:t>Exhibit E</w:t>
      </w:r>
    </w:p>
    <w:p w:rsidR="005254B2" w:rsidRPr="00C319AB" w:rsidRDefault="00C43E61" w:rsidP="005254B2">
      <w:pPr>
        <w:pStyle w:val="NoSpacing"/>
        <w:rPr>
          <w:rFonts w:cstheme="minorHAnsi"/>
          <w:b/>
        </w:rPr>
      </w:pPr>
      <w:r w:rsidRPr="00C319AB">
        <w:rPr>
          <w:rFonts w:cstheme="minorHAnsi"/>
          <w:b/>
        </w:rPr>
        <w:t>Performance</w:t>
      </w:r>
      <w:r w:rsidR="00EB3543" w:rsidRPr="00C319AB">
        <w:rPr>
          <w:rFonts w:cstheme="minorHAnsi"/>
          <w:b/>
        </w:rPr>
        <w:t xml:space="preserve"> Measures</w:t>
      </w:r>
    </w:p>
    <w:p w:rsidR="005254B2" w:rsidRPr="00C319AB" w:rsidRDefault="005254B2" w:rsidP="005254B2">
      <w:pPr>
        <w:pStyle w:val="NoSpacing"/>
        <w:rPr>
          <w:rFonts w:cstheme="minorHAnsi"/>
          <w:b/>
          <w:u w:val="single"/>
        </w:rPr>
      </w:pPr>
    </w:p>
    <w:p w:rsidR="001069C5" w:rsidRPr="00C319AB" w:rsidRDefault="001069C5" w:rsidP="001069C5">
      <w:pPr>
        <w:spacing w:after="0" w:line="240" w:lineRule="auto"/>
        <w:rPr>
          <w:rFonts w:cstheme="minorHAnsi"/>
          <w:b/>
        </w:rPr>
      </w:pPr>
      <w:r w:rsidRPr="00C319AB">
        <w:rPr>
          <w:rFonts w:cstheme="minorHAnsi"/>
          <w:b/>
        </w:rPr>
        <w:t xml:space="preserve">Quarterly </w:t>
      </w:r>
    </w:p>
    <w:p w:rsidR="001069C5" w:rsidRPr="00C319AB" w:rsidRDefault="001069C5" w:rsidP="00C43E61">
      <w:pPr>
        <w:spacing w:after="0" w:line="240" w:lineRule="auto"/>
        <w:ind w:firstLine="720"/>
        <w:rPr>
          <w:rFonts w:cstheme="minorHAnsi"/>
          <w:highlight w:val="yellow"/>
        </w:rPr>
      </w:pPr>
      <w:r w:rsidRPr="00C319AB">
        <w:rPr>
          <w:rFonts w:cstheme="minorHAnsi"/>
        </w:rPr>
        <w:t>1</w:t>
      </w:r>
      <w:r w:rsidRPr="00C319AB">
        <w:rPr>
          <w:rFonts w:cstheme="minorHAnsi"/>
          <w:highlight w:val="yellow"/>
        </w:rPr>
        <w:t xml:space="preserve">) # of months reconciled earnings </w:t>
      </w:r>
    </w:p>
    <w:p w:rsidR="001069C5" w:rsidRPr="00C319AB" w:rsidRDefault="001069C5" w:rsidP="00C43E61">
      <w:pPr>
        <w:spacing w:after="0" w:line="240" w:lineRule="auto"/>
        <w:ind w:left="720" w:firstLine="720"/>
        <w:rPr>
          <w:rFonts w:cstheme="minorHAnsi"/>
          <w:highlight w:val="yellow"/>
        </w:rPr>
      </w:pPr>
      <w:r w:rsidRPr="00C319AB">
        <w:rPr>
          <w:rFonts w:cstheme="minorHAnsi"/>
          <w:highlight w:val="yellow"/>
        </w:rPr>
        <w:t xml:space="preserve">- Reconciled earnings accepted with earnings reported </w:t>
      </w:r>
    </w:p>
    <w:p w:rsidR="001069C5" w:rsidRPr="00C319AB" w:rsidRDefault="001069C5" w:rsidP="00C43E61">
      <w:pPr>
        <w:spacing w:after="0" w:line="240" w:lineRule="auto"/>
        <w:ind w:left="720" w:firstLine="720"/>
        <w:rPr>
          <w:rFonts w:cstheme="minorHAnsi"/>
          <w:highlight w:val="yellow"/>
        </w:rPr>
      </w:pPr>
      <w:r w:rsidRPr="00C319AB">
        <w:rPr>
          <w:rFonts w:cstheme="minorHAnsi"/>
          <w:highlight w:val="yellow"/>
        </w:rPr>
        <w:t>- Reconciled openings submitted with openings accepted</w:t>
      </w:r>
    </w:p>
    <w:p w:rsidR="001069C5" w:rsidRPr="00C319AB" w:rsidRDefault="001069C5" w:rsidP="001069C5">
      <w:pPr>
        <w:spacing w:after="0" w:line="240" w:lineRule="auto"/>
        <w:rPr>
          <w:rFonts w:cstheme="minorHAnsi"/>
          <w:highlight w:val="yellow"/>
        </w:rPr>
      </w:pPr>
    </w:p>
    <w:p w:rsidR="001069C5" w:rsidRPr="00C319AB" w:rsidRDefault="001069C5" w:rsidP="00C43E61">
      <w:pPr>
        <w:spacing w:after="0" w:line="240" w:lineRule="auto"/>
        <w:ind w:left="720"/>
        <w:rPr>
          <w:rFonts w:cstheme="minorHAnsi"/>
          <w:highlight w:val="yellow"/>
        </w:rPr>
      </w:pPr>
      <w:r w:rsidRPr="00C319AB">
        <w:rPr>
          <w:rFonts w:cstheme="minorHAnsi"/>
          <w:highlight w:val="yellow"/>
        </w:rPr>
        <w:t>2) # of months submit DHS DASA billing (DARTS and Manual Billing) by the DASA monthly due date identified in the UGA</w:t>
      </w:r>
    </w:p>
    <w:p w:rsidR="001069C5" w:rsidRPr="00C319AB" w:rsidRDefault="001069C5" w:rsidP="001069C5">
      <w:pPr>
        <w:spacing w:after="0" w:line="240" w:lineRule="auto"/>
        <w:rPr>
          <w:rFonts w:cstheme="minorHAnsi"/>
          <w:highlight w:val="yellow"/>
        </w:rPr>
      </w:pPr>
    </w:p>
    <w:p w:rsidR="001069C5" w:rsidRPr="00C319AB" w:rsidRDefault="001069C5" w:rsidP="00C43E61">
      <w:pPr>
        <w:spacing w:after="0" w:line="240" w:lineRule="auto"/>
        <w:ind w:firstLine="720"/>
        <w:rPr>
          <w:rFonts w:cstheme="minorHAnsi"/>
          <w:highlight w:val="yellow"/>
        </w:rPr>
      </w:pPr>
      <w:r w:rsidRPr="00C319AB">
        <w:rPr>
          <w:rFonts w:cstheme="minorHAnsi"/>
          <w:highlight w:val="yellow"/>
        </w:rPr>
        <w:t xml:space="preserve">3) Reconcile quarterly Year to date % of actual to expected year to date earnings/expenditures </w:t>
      </w:r>
    </w:p>
    <w:p w:rsidR="001069C5" w:rsidRPr="00C319AB" w:rsidRDefault="001069C5" w:rsidP="001069C5">
      <w:pPr>
        <w:spacing w:after="0" w:line="240" w:lineRule="auto"/>
        <w:rPr>
          <w:rFonts w:cstheme="minorHAnsi"/>
          <w:highlight w:val="yellow"/>
        </w:rPr>
      </w:pPr>
    </w:p>
    <w:p w:rsidR="001069C5" w:rsidRPr="00C319AB" w:rsidRDefault="001069C5" w:rsidP="00C43E61">
      <w:pPr>
        <w:spacing w:after="0" w:line="240" w:lineRule="auto"/>
        <w:ind w:firstLine="720"/>
        <w:rPr>
          <w:rFonts w:cstheme="minorHAnsi"/>
          <w:highlight w:val="yellow"/>
        </w:rPr>
      </w:pPr>
      <w:r w:rsidRPr="00C319AB">
        <w:rPr>
          <w:rFonts w:cstheme="minorHAnsi"/>
          <w:highlight w:val="yellow"/>
        </w:rPr>
        <w:t>4) Number of clients admitted for this quarter</w:t>
      </w:r>
    </w:p>
    <w:p w:rsidR="001069C5" w:rsidRPr="00C319AB" w:rsidRDefault="001069C5" w:rsidP="001069C5">
      <w:pPr>
        <w:spacing w:after="0" w:line="240" w:lineRule="auto"/>
        <w:rPr>
          <w:rFonts w:cstheme="minorHAnsi"/>
          <w:b/>
          <w:highlight w:val="yellow"/>
        </w:rPr>
      </w:pPr>
    </w:p>
    <w:p w:rsidR="001069C5" w:rsidRPr="00C319AB" w:rsidRDefault="001069C5" w:rsidP="00C43E61">
      <w:pPr>
        <w:spacing w:after="0" w:line="240" w:lineRule="auto"/>
        <w:ind w:firstLine="720"/>
        <w:rPr>
          <w:rFonts w:cstheme="minorHAnsi"/>
          <w:highlight w:val="yellow"/>
        </w:rPr>
      </w:pPr>
      <w:r w:rsidRPr="00C319AB">
        <w:rPr>
          <w:rFonts w:cstheme="minorHAnsi"/>
          <w:highlight w:val="yellow"/>
        </w:rPr>
        <w:t xml:space="preserve">5) The maintained as is “in good standing” with DHS DASA contract compliance reviews  </w:t>
      </w:r>
    </w:p>
    <w:p w:rsidR="001069C5" w:rsidRPr="00C319AB" w:rsidRDefault="001069C5" w:rsidP="001069C5">
      <w:pPr>
        <w:spacing w:after="0" w:line="240" w:lineRule="auto"/>
        <w:rPr>
          <w:rFonts w:cstheme="minorHAnsi"/>
          <w:highlight w:val="yellow"/>
        </w:rPr>
      </w:pPr>
      <w:r w:rsidRPr="00C319AB">
        <w:rPr>
          <w:rFonts w:cstheme="minorHAnsi"/>
        </w:rPr>
        <w:tab/>
      </w:r>
      <w:r w:rsidR="00C43E61" w:rsidRPr="00C319AB">
        <w:rPr>
          <w:rFonts w:cstheme="minorHAnsi"/>
        </w:rPr>
        <w:tab/>
      </w:r>
      <w:r w:rsidRPr="00C319AB">
        <w:rPr>
          <w:rFonts w:cstheme="minorHAnsi"/>
          <w:highlight w:val="yellow"/>
        </w:rPr>
        <w:t xml:space="preserve">-rule compliance </w:t>
      </w:r>
    </w:p>
    <w:p w:rsidR="001069C5" w:rsidRPr="00C319AB" w:rsidRDefault="00C43E61" w:rsidP="001069C5">
      <w:pPr>
        <w:spacing w:after="0" w:line="240" w:lineRule="auto"/>
        <w:rPr>
          <w:rFonts w:cstheme="minorHAnsi"/>
          <w:highlight w:val="yellow"/>
        </w:rPr>
      </w:pPr>
      <w:r w:rsidRPr="00C319AB">
        <w:rPr>
          <w:rFonts w:cstheme="minorHAnsi"/>
        </w:rPr>
        <w:tab/>
      </w:r>
      <w:r w:rsidR="001069C5" w:rsidRPr="00C319AB">
        <w:rPr>
          <w:rFonts w:cstheme="minorHAnsi"/>
        </w:rPr>
        <w:tab/>
      </w:r>
      <w:r w:rsidR="001069C5" w:rsidRPr="00C319AB">
        <w:rPr>
          <w:rFonts w:cstheme="minorHAnsi"/>
          <w:highlight w:val="yellow"/>
        </w:rPr>
        <w:t>-contract compliance</w:t>
      </w:r>
    </w:p>
    <w:p w:rsidR="001069C5" w:rsidRPr="00C319AB" w:rsidRDefault="00C43E61" w:rsidP="001069C5">
      <w:pPr>
        <w:spacing w:after="0" w:line="240" w:lineRule="auto"/>
        <w:rPr>
          <w:rFonts w:cstheme="minorHAnsi"/>
          <w:highlight w:val="yellow"/>
        </w:rPr>
      </w:pPr>
      <w:r w:rsidRPr="00C319AB">
        <w:rPr>
          <w:rFonts w:cstheme="minorHAnsi"/>
        </w:rPr>
        <w:tab/>
      </w:r>
      <w:r w:rsidR="001069C5" w:rsidRPr="00C319AB">
        <w:rPr>
          <w:rFonts w:cstheme="minorHAnsi"/>
        </w:rPr>
        <w:tab/>
      </w:r>
      <w:r w:rsidR="001069C5" w:rsidRPr="00C319AB">
        <w:rPr>
          <w:rFonts w:cstheme="minorHAnsi"/>
          <w:highlight w:val="yellow"/>
        </w:rPr>
        <w:t>-OMB circular reviews</w:t>
      </w:r>
    </w:p>
    <w:p w:rsidR="001069C5" w:rsidRPr="00C319AB" w:rsidRDefault="00C43E61" w:rsidP="001069C5">
      <w:pPr>
        <w:spacing w:after="0" w:line="240" w:lineRule="auto"/>
        <w:rPr>
          <w:rFonts w:cstheme="minorHAnsi"/>
        </w:rPr>
      </w:pPr>
      <w:r w:rsidRPr="00C319AB">
        <w:rPr>
          <w:rFonts w:cstheme="minorHAnsi"/>
        </w:rPr>
        <w:tab/>
      </w:r>
      <w:r w:rsidR="001069C5" w:rsidRPr="00C319AB">
        <w:rPr>
          <w:rFonts w:cstheme="minorHAnsi"/>
        </w:rPr>
        <w:tab/>
      </w:r>
      <w:r w:rsidR="001069C5" w:rsidRPr="00C319AB">
        <w:rPr>
          <w:rFonts w:cstheme="minorHAnsi"/>
          <w:highlight w:val="yellow"/>
        </w:rPr>
        <w:t>-annual audit compliance</w:t>
      </w:r>
    </w:p>
    <w:p w:rsidR="001069C5" w:rsidRPr="00C319AB" w:rsidRDefault="001069C5" w:rsidP="001069C5">
      <w:pPr>
        <w:spacing w:after="0" w:line="240" w:lineRule="auto"/>
        <w:rPr>
          <w:rFonts w:cstheme="minorHAnsi"/>
          <w:b/>
        </w:rPr>
      </w:pPr>
    </w:p>
    <w:p w:rsidR="001069C5" w:rsidRPr="00C319AB" w:rsidRDefault="001069C5" w:rsidP="001069C5">
      <w:pPr>
        <w:spacing w:after="0" w:line="240" w:lineRule="auto"/>
        <w:rPr>
          <w:rFonts w:cstheme="minorHAnsi"/>
          <w:b/>
        </w:rPr>
      </w:pPr>
      <w:r w:rsidRPr="00C319AB">
        <w:rPr>
          <w:rFonts w:cstheme="minorHAnsi"/>
          <w:b/>
        </w:rPr>
        <w:t xml:space="preserve">Annually Agency Wide </w:t>
      </w:r>
    </w:p>
    <w:p w:rsidR="00A30BE9" w:rsidRPr="00C319AB" w:rsidRDefault="00A30BE9" w:rsidP="00A30BE9">
      <w:pPr>
        <w:pStyle w:val="NoSpacing"/>
        <w:rPr>
          <w:rFonts w:cstheme="minorHAnsi"/>
        </w:rPr>
      </w:pPr>
      <w:r w:rsidRPr="00C319AB">
        <w:rPr>
          <w:rFonts w:cstheme="minorHAnsi"/>
        </w:rPr>
        <w:t>As part of the foregoing reporting requirements outlined in Exhibit B, Provider shall specifically include the following Performance Measures in its DARTS submitted to DASA at least monthly:</w:t>
      </w:r>
    </w:p>
    <w:p w:rsidR="00A30BE9" w:rsidRPr="00C319AB" w:rsidRDefault="00A30BE9" w:rsidP="00A30BE9">
      <w:pPr>
        <w:pStyle w:val="NoSpacing"/>
        <w:rPr>
          <w:rFonts w:cstheme="minorHAnsi"/>
        </w:rPr>
      </w:pPr>
    </w:p>
    <w:p w:rsidR="00A30BE9" w:rsidRPr="00C319AB" w:rsidRDefault="00A30BE9" w:rsidP="00C43E61">
      <w:pPr>
        <w:pStyle w:val="NoSpacing"/>
        <w:ind w:firstLine="720"/>
        <w:rPr>
          <w:rFonts w:cstheme="minorHAnsi"/>
        </w:rPr>
      </w:pPr>
      <w:r w:rsidRPr="00C319AB">
        <w:rPr>
          <w:rFonts w:cstheme="minorHAnsi"/>
        </w:rPr>
        <w:t>1.</w:t>
      </w:r>
      <w:r w:rsidRPr="00C319AB">
        <w:rPr>
          <w:rFonts w:cstheme="minorHAnsi"/>
        </w:rPr>
        <w:tab/>
        <w:t># of patients completed treatment</w:t>
      </w:r>
    </w:p>
    <w:p w:rsidR="00A30BE9" w:rsidRPr="00C319AB" w:rsidRDefault="00A30BE9" w:rsidP="00C43E61">
      <w:pPr>
        <w:pStyle w:val="NoSpacing"/>
        <w:ind w:firstLine="720"/>
        <w:rPr>
          <w:rFonts w:cstheme="minorHAnsi"/>
        </w:rPr>
      </w:pPr>
      <w:r w:rsidRPr="00C319AB">
        <w:rPr>
          <w:rFonts w:cstheme="minorHAnsi"/>
        </w:rPr>
        <w:t>2.</w:t>
      </w:r>
      <w:r w:rsidRPr="00C319AB">
        <w:rPr>
          <w:rFonts w:cstheme="minorHAnsi"/>
        </w:rPr>
        <w:tab/>
        <w:t># of abstinent from alcohol</w:t>
      </w:r>
    </w:p>
    <w:p w:rsidR="00EB3543" w:rsidRPr="00C319AB" w:rsidRDefault="00A30BE9" w:rsidP="00C43E61">
      <w:pPr>
        <w:pStyle w:val="NoSpacing"/>
        <w:ind w:firstLine="720"/>
        <w:rPr>
          <w:rFonts w:cstheme="minorHAnsi"/>
        </w:rPr>
      </w:pPr>
      <w:r w:rsidRPr="00C319AB">
        <w:rPr>
          <w:rFonts w:cstheme="minorHAnsi"/>
        </w:rPr>
        <w:t>3.</w:t>
      </w:r>
      <w:r w:rsidRPr="00C319AB">
        <w:rPr>
          <w:rFonts w:cstheme="minorHAnsi"/>
        </w:rPr>
        <w:tab/>
        <w:t># of abstinent from drugs</w:t>
      </w:r>
      <w:r w:rsidR="00A2715A" w:rsidRPr="00C319AB">
        <w:rPr>
          <w:rFonts w:cstheme="minorHAnsi"/>
        </w:rPr>
        <w:t>.</w:t>
      </w:r>
    </w:p>
    <w:p w:rsidR="005254B2" w:rsidRPr="00C319AB" w:rsidRDefault="005254B2" w:rsidP="005254B2">
      <w:pPr>
        <w:pStyle w:val="NoSpacing"/>
        <w:rPr>
          <w:rFonts w:cstheme="minorHAnsi"/>
        </w:rPr>
      </w:pPr>
    </w:p>
    <w:p w:rsidR="001069C5" w:rsidRPr="00C319AB" w:rsidRDefault="001069C5" w:rsidP="001069C5">
      <w:pPr>
        <w:spacing w:after="0" w:line="240" w:lineRule="auto"/>
        <w:rPr>
          <w:rFonts w:cstheme="minorHAnsi"/>
        </w:rPr>
      </w:pPr>
      <w:r w:rsidRPr="00C319AB">
        <w:rPr>
          <w:rFonts w:cstheme="minorHAnsi"/>
        </w:rPr>
        <w:t>ACP plan submitted and approved as required</w:t>
      </w:r>
    </w:p>
    <w:p w:rsidR="001069C5" w:rsidRPr="00C319AB" w:rsidRDefault="001069C5" w:rsidP="005254B2">
      <w:pPr>
        <w:pStyle w:val="NoSpacing"/>
        <w:rPr>
          <w:rFonts w:cstheme="minorHAnsi"/>
        </w:rPr>
      </w:pPr>
    </w:p>
    <w:p w:rsidR="001069C5" w:rsidRPr="00C319AB" w:rsidRDefault="001069C5" w:rsidP="005254B2">
      <w:pPr>
        <w:pStyle w:val="NoSpacing"/>
        <w:rPr>
          <w:rFonts w:cstheme="minorHAnsi"/>
        </w:rPr>
      </w:pPr>
    </w:p>
    <w:p w:rsidR="00C43E61" w:rsidRPr="00C319AB" w:rsidRDefault="005254B2" w:rsidP="005254B2">
      <w:pPr>
        <w:pStyle w:val="NoSpacing"/>
        <w:rPr>
          <w:rFonts w:cstheme="minorHAnsi"/>
          <w:b/>
          <w:u w:val="single"/>
        </w:rPr>
      </w:pPr>
      <w:r w:rsidRPr="00C319AB">
        <w:rPr>
          <w:rFonts w:cstheme="minorHAnsi"/>
          <w:b/>
          <w:u w:val="single"/>
        </w:rPr>
        <w:t>Exhibit F</w:t>
      </w:r>
    </w:p>
    <w:p w:rsidR="005254B2" w:rsidRPr="00C319AB" w:rsidRDefault="00C43E61" w:rsidP="005254B2">
      <w:pPr>
        <w:pStyle w:val="NoSpacing"/>
        <w:rPr>
          <w:rFonts w:cstheme="minorHAnsi"/>
          <w:b/>
        </w:rPr>
      </w:pPr>
      <w:r w:rsidRPr="00C319AB">
        <w:rPr>
          <w:rFonts w:cstheme="minorHAnsi"/>
          <w:b/>
        </w:rPr>
        <w:t>Performance</w:t>
      </w:r>
      <w:r w:rsidR="00EB3543" w:rsidRPr="00C319AB">
        <w:rPr>
          <w:rFonts w:cstheme="minorHAnsi"/>
          <w:b/>
        </w:rPr>
        <w:t xml:space="preserve"> Standards</w:t>
      </w:r>
    </w:p>
    <w:p w:rsidR="005254B2" w:rsidRPr="00C319AB" w:rsidRDefault="005254B2" w:rsidP="005254B2">
      <w:pPr>
        <w:pStyle w:val="NoSpacing"/>
        <w:rPr>
          <w:rFonts w:cstheme="minorHAnsi"/>
        </w:rPr>
      </w:pPr>
    </w:p>
    <w:p w:rsidR="00A30BE9" w:rsidRPr="00C319AB" w:rsidRDefault="00A30BE9" w:rsidP="00A30BE9">
      <w:pPr>
        <w:pStyle w:val="NoSpacing"/>
        <w:rPr>
          <w:rFonts w:cstheme="minorHAnsi"/>
        </w:rPr>
      </w:pPr>
      <w:r w:rsidRPr="00C319AB">
        <w:rPr>
          <w:rFonts w:cstheme="minorHAnsi"/>
        </w:rPr>
        <w:t>In order to achieve the desired outcomes of this program, Provider shall meet or exceed the following Performance Standards in order to have substantially performed under the terms of this contract:</w:t>
      </w:r>
    </w:p>
    <w:p w:rsidR="00A30BE9" w:rsidRPr="00C319AB" w:rsidRDefault="00A30BE9" w:rsidP="00A30BE9">
      <w:pPr>
        <w:pStyle w:val="NoSpacing"/>
        <w:rPr>
          <w:rFonts w:cstheme="minorHAnsi"/>
        </w:rPr>
      </w:pPr>
    </w:p>
    <w:p w:rsidR="00C12261" w:rsidRPr="00C319AB" w:rsidRDefault="00C12261" w:rsidP="00C43E61">
      <w:pPr>
        <w:spacing w:after="0" w:line="240" w:lineRule="auto"/>
        <w:ind w:firstLine="720"/>
        <w:rPr>
          <w:rFonts w:cstheme="minorHAnsi"/>
          <w:highlight w:val="yellow"/>
        </w:rPr>
      </w:pPr>
      <w:r w:rsidRPr="00C319AB">
        <w:rPr>
          <w:rFonts w:cstheme="minorHAnsi"/>
          <w:highlight w:val="yellow"/>
        </w:rPr>
        <w:t>1) Reconcile Mobius reports at least quarterly for:</w:t>
      </w:r>
    </w:p>
    <w:p w:rsidR="00C12261" w:rsidRPr="00C319AB" w:rsidRDefault="00C12261" w:rsidP="00C43E61">
      <w:pPr>
        <w:spacing w:after="0" w:line="240" w:lineRule="auto"/>
        <w:ind w:left="720" w:firstLine="720"/>
        <w:rPr>
          <w:rFonts w:cstheme="minorHAnsi"/>
          <w:highlight w:val="yellow"/>
        </w:rPr>
      </w:pPr>
      <w:r w:rsidRPr="00C319AB">
        <w:rPr>
          <w:rFonts w:cstheme="minorHAnsi"/>
          <w:highlight w:val="yellow"/>
        </w:rPr>
        <w:t>-</w:t>
      </w:r>
      <w:r w:rsidR="00C43E61" w:rsidRPr="00C319AB">
        <w:rPr>
          <w:rFonts w:cstheme="minorHAnsi"/>
          <w:highlight w:val="yellow"/>
        </w:rPr>
        <w:t>E</w:t>
      </w:r>
      <w:r w:rsidRPr="00C319AB">
        <w:rPr>
          <w:rFonts w:cstheme="minorHAnsi"/>
          <w:highlight w:val="yellow"/>
        </w:rPr>
        <w:t xml:space="preserve">arnings accepted with earnings reported </w:t>
      </w:r>
    </w:p>
    <w:p w:rsidR="00C12261" w:rsidRPr="00C319AB" w:rsidRDefault="00C12261" w:rsidP="00C43E61">
      <w:pPr>
        <w:spacing w:after="0" w:line="240" w:lineRule="auto"/>
        <w:ind w:left="720" w:firstLine="720"/>
        <w:rPr>
          <w:rFonts w:cstheme="minorHAnsi"/>
          <w:highlight w:val="yellow"/>
        </w:rPr>
      </w:pPr>
      <w:r w:rsidRPr="00C319AB">
        <w:rPr>
          <w:rFonts w:cstheme="minorHAnsi"/>
          <w:highlight w:val="yellow"/>
        </w:rPr>
        <w:t xml:space="preserve">- </w:t>
      </w:r>
      <w:r w:rsidR="00C43E61" w:rsidRPr="00C319AB">
        <w:rPr>
          <w:rFonts w:cstheme="minorHAnsi"/>
          <w:highlight w:val="yellow"/>
        </w:rPr>
        <w:t>Openings</w:t>
      </w:r>
      <w:r w:rsidRPr="00C319AB">
        <w:rPr>
          <w:rFonts w:cstheme="minorHAnsi"/>
          <w:highlight w:val="yellow"/>
        </w:rPr>
        <w:t xml:space="preserve"> submitted with openings accepted</w:t>
      </w:r>
    </w:p>
    <w:p w:rsidR="00C12261" w:rsidRPr="00C319AB" w:rsidRDefault="00C12261" w:rsidP="00C12261">
      <w:pPr>
        <w:spacing w:after="0" w:line="240" w:lineRule="auto"/>
        <w:rPr>
          <w:rFonts w:cstheme="minorHAnsi"/>
          <w:highlight w:val="yellow"/>
        </w:rPr>
      </w:pPr>
    </w:p>
    <w:p w:rsidR="00C12261" w:rsidRPr="00C319AB" w:rsidRDefault="00C12261" w:rsidP="00C43E61">
      <w:pPr>
        <w:spacing w:after="0" w:line="240" w:lineRule="auto"/>
        <w:ind w:left="720"/>
        <w:rPr>
          <w:rFonts w:cstheme="minorHAnsi"/>
          <w:highlight w:val="yellow"/>
        </w:rPr>
      </w:pPr>
      <w:r w:rsidRPr="00C319AB">
        <w:rPr>
          <w:rFonts w:cstheme="minorHAnsi"/>
          <w:highlight w:val="yellow"/>
        </w:rPr>
        <w:t xml:space="preserve">2)  </w:t>
      </w:r>
      <w:r w:rsidR="00C43E61" w:rsidRPr="00C319AB">
        <w:rPr>
          <w:rFonts w:cstheme="minorHAnsi"/>
          <w:highlight w:val="yellow"/>
        </w:rPr>
        <w:t>Submit DHS</w:t>
      </w:r>
      <w:r w:rsidRPr="00C319AB">
        <w:rPr>
          <w:rFonts w:cstheme="minorHAnsi"/>
          <w:highlight w:val="yellow"/>
        </w:rPr>
        <w:t xml:space="preserve"> DASA billing (DARTS and Manual Billing) on a monthly </w:t>
      </w:r>
      <w:r w:rsidR="00C319AB" w:rsidRPr="00C319AB">
        <w:rPr>
          <w:rFonts w:cstheme="minorHAnsi"/>
          <w:highlight w:val="yellow"/>
        </w:rPr>
        <w:t>basis as</w:t>
      </w:r>
      <w:r w:rsidRPr="00C319AB">
        <w:rPr>
          <w:rFonts w:cstheme="minorHAnsi"/>
          <w:highlight w:val="yellow"/>
        </w:rPr>
        <w:t xml:space="preserve"> defined in the UGA</w:t>
      </w:r>
    </w:p>
    <w:p w:rsidR="00C12261" w:rsidRPr="00C319AB" w:rsidRDefault="00C12261" w:rsidP="00C12261">
      <w:pPr>
        <w:spacing w:after="0" w:line="240" w:lineRule="auto"/>
        <w:rPr>
          <w:rFonts w:cstheme="minorHAnsi"/>
          <w:highlight w:val="yellow"/>
        </w:rPr>
      </w:pPr>
    </w:p>
    <w:p w:rsidR="00C12261" w:rsidRPr="00C319AB" w:rsidRDefault="00C12261" w:rsidP="00C43E61">
      <w:pPr>
        <w:spacing w:after="0" w:line="240" w:lineRule="auto"/>
        <w:ind w:left="720"/>
        <w:rPr>
          <w:rFonts w:cstheme="minorHAnsi"/>
          <w:highlight w:val="yellow"/>
        </w:rPr>
      </w:pPr>
      <w:r w:rsidRPr="00C319AB">
        <w:rPr>
          <w:rFonts w:cstheme="minorHAnsi"/>
          <w:highlight w:val="yellow"/>
        </w:rPr>
        <w:t xml:space="preserve">3)  Submit Award related reported earnings /expenditures that are quarterly reconciled to be within 15% of the required  “year to date” earnings </w:t>
      </w:r>
    </w:p>
    <w:p w:rsidR="00C12261" w:rsidRPr="00C319AB" w:rsidRDefault="00C12261" w:rsidP="00C12261">
      <w:pPr>
        <w:spacing w:after="0" w:line="240" w:lineRule="auto"/>
        <w:rPr>
          <w:rFonts w:cstheme="minorHAnsi"/>
          <w:highlight w:val="yellow"/>
        </w:rPr>
      </w:pPr>
    </w:p>
    <w:p w:rsidR="00C12261" w:rsidRPr="00C319AB" w:rsidRDefault="00C12261" w:rsidP="00C43E61">
      <w:pPr>
        <w:spacing w:after="0" w:line="240" w:lineRule="auto"/>
        <w:ind w:firstLine="720"/>
        <w:rPr>
          <w:rFonts w:cstheme="minorHAnsi"/>
          <w:highlight w:val="yellow"/>
        </w:rPr>
      </w:pPr>
      <w:r w:rsidRPr="00C319AB">
        <w:rPr>
          <w:rFonts w:cstheme="minorHAnsi"/>
          <w:highlight w:val="yellow"/>
        </w:rPr>
        <w:t>4) Number of clients admitted for this quarter is consistent</w:t>
      </w:r>
    </w:p>
    <w:p w:rsidR="00C12261" w:rsidRPr="00C319AB" w:rsidRDefault="00C12261" w:rsidP="00C12261">
      <w:pPr>
        <w:spacing w:after="0" w:line="240" w:lineRule="auto"/>
        <w:rPr>
          <w:rFonts w:cstheme="minorHAnsi"/>
          <w:b/>
          <w:highlight w:val="yellow"/>
        </w:rPr>
      </w:pPr>
    </w:p>
    <w:p w:rsidR="00C12261" w:rsidRPr="00C319AB" w:rsidRDefault="00C12261" w:rsidP="00C43E61">
      <w:pPr>
        <w:spacing w:after="0" w:line="240" w:lineRule="auto"/>
        <w:ind w:firstLine="720"/>
        <w:rPr>
          <w:rFonts w:cstheme="minorHAnsi"/>
          <w:highlight w:val="yellow"/>
        </w:rPr>
      </w:pPr>
      <w:r w:rsidRPr="00C319AB">
        <w:rPr>
          <w:rFonts w:cstheme="minorHAnsi"/>
          <w:highlight w:val="yellow"/>
        </w:rPr>
        <w:t xml:space="preserve">5)  Maintain the agency “in good standing” with DHS DASA contract compliance reviews  </w:t>
      </w:r>
    </w:p>
    <w:p w:rsidR="00C12261" w:rsidRPr="00C319AB" w:rsidRDefault="00C12261" w:rsidP="00C12261">
      <w:pPr>
        <w:spacing w:after="0" w:line="240" w:lineRule="auto"/>
        <w:rPr>
          <w:rFonts w:cstheme="minorHAnsi"/>
          <w:highlight w:val="yellow"/>
        </w:rPr>
      </w:pPr>
      <w:r w:rsidRPr="00C319AB">
        <w:rPr>
          <w:rFonts w:cstheme="minorHAnsi"/>
        </w:rPr>
        <w:tab/>
      </w:r>
      <w:r w:rsidR="00C43E61" w:rsidRPr="00C319AB">
        <w:rPr>
          <w:rFonts w:cstheme="minorHAnsi"/>
        </w:rPr>
        <w:tab/>
      </w:r>
      <w:r w:rsidRPr="00C319AB">
        <w:rPr>
          <w:rFonts w:cstheme="minorHAnsi"/>
          <w:highlight w:val="yellow"/>
        </w:rPr>
        <w:t xml:space="preserve">-rule compliance </w:t>
      </w:r>
    </w:p>
    <w:p w:rsidR="00C12261" w:rsidRPr="00C319AB" w:rsidRDefault="00C43E61" w:rsidP="00C12261">
      <w:pPr>
        <w:spacing w:after="0" w:line="240" w:lineRule="auto"/>
        <w:rPr>
          <w:rFonts w:cstheme="minorHAnsi"/>
          <w:highlight w:val="yellow"/>
        </w:rPr>
      </w:pPr>
      <w:r w:rsidRPr="00C319AB">
        <w:rPr>
          <w:rFonts w:cstheme="minorHAnsi"/>
        </w:rPr>
        <w:tab/>
      </w:r>
      <w:r w:rsidR="00C12261" w:rsidRPr="00C319AB">
        <w:rPr>
          <w:rFonts w:cstheme="minorHAnsi"/>
        </w:rPr>
        <w:tab/>
      </w:r>
      <w:r w:rsidR="00C12261" w:rsidRPr="00C319AB">
        <w:rPr>
          <w:rFonts w:cstheme="minorHAnsi"/>
          <w:highlight w:val="yellow"/>
        </w:rPr>
        <w:t>-contract compliance</w:t>
      </w:r>
    </w:p>
    <w:p w:rsidR="00C12261" w:rsidRPr="00C319AB" w:rsidRDefault="00C43E61" w:rsidP="00C12261">
      <w:pPr>
        <w:spacing w:after="0" w:line="240" w:lineRule="auto"/>
        <w:rPr>
          <w:rFonts w:cstheme="minorHAnsi"/>
          <w:highlight w:val="yellow"/>
        </w:rPr>
      </w:pPr>
      <w:r w:rsidRPr="00C319AB">
        <w:rPr>
          <w:rFonts w:cstheme="minorHAnsi"/>
        </w:rPr>
        <w:tab/>
      </w:r>
      <w:r w:rsidR="00C12261" w:rsidRPr="00C319AB">
        <w:rPr>
          <w:rFonts w:cstheme="minorHAnsi"/>
        </w:rPr>
        <w:tab/>
      </w:r>
      <w:r w:rsidR="00C12261" w:rsidRPr="00C319AB">
        <w:rPr>
          <w:rFonts w:cstheme="minorHAnsi"/>
          <w:highlight w:val="yellow"/>
        </w:rPr>
        <w:t>-OMB circular reviews</w:t>
      </w:r>
    </w:p>
    <w:p w:rsidR="00C12261" w:rsidRPr="00C319AB" w:rsidRDefault="00C43E61" w:rsidP="00C12261">
      <w:pPr>
        <w:spacing w:after="0" w:line="240" w:lineRule="auto"/>
        <w:rPr>
          <w:rFonts w:cstheme="minorHAnsi"/>
        </w:rPr>
      </w:pPr>
      <w:r w:rsidRPr="00C319AB">
        <w:rPr>
          <w:rFonts w:cstheme="minorHAnsi"/>
        </w:rPr>
        <w:tab/>
      </w:r>
      <w:r w:rsidR="00C12261" w:rsidRPr="00C319AB">
        <w:rPr>
          <w:rFonts w:cstheme="minorHAnsi"/>
        </w:rPr>
        <w:tab/>
      </w:r>
      <w:r w:rsidR="00C12261" w:rsidRPr="00C319AB">
        <w:rPr>
          <w:rFonts w:cstheme="minorHAnsi"/>
          <w:highlight w:val="yellow"/>
        </w:rPr>
        <w:t>-annual audit compliance</w:t>
      </w:r>
    </w:p>
    <w:p w:rsidR="00C12261" w:rsidRPr="00C319AB" w:rsidRDefault="00C12261" w:rsidP="00A30BE9">
      <w:pPr>
        <w:pStyle w:val="NoSpacing"/>
        <w:rPr>
          <w:rFonts w:cstheme="minorHAnsi"/>
        </w:rPr>
      </w:pPr>
    </w:p>
    <w:p w:rsidR="003831D6" w:rsidRPr="00C319AB" w:rsidRDefault="003831D6" w:rsidP="003831D6">
      <w:pPr>
        <w:pStyle w:val="NoSpacing"/>
        <w:rPr>
          <w:rFonts w:cstheme="minorHAnsi"/>
        </w:rPr>
      </w:pPr>
    </w:p>
    <w:p w:rsidR="00C12261" w:rsidRPr="00C319AB" w:rsidRDefault="00C12261" w:rsidP="00C12261">
      <w:pPr>
        <w:rPr>
          <w:rFonts w:cstheme="minorHAnsi"/>
          <w:u w:val="single"/>
        </w:rPr>
      </w:pPr>
      <w:r w:rsidRPr="00C319AB">
        <w:rPr>
          <w:rFonts w:cstheme="minorHAnsi"/>
          <w:highlight w:val="yellow"/>
          <w:u w:val="single"/>
        </w:rPr>
        <w:t>Participate in a trend Analysis 3 year review</w:t>
      </w:r>
      <w:r w:rsidRPr="00C319AB">
        <w:rPr>
          <w:rFonts w:cstheme="minorHAnsi"/>
          <w:u w:val="single"/>
        </w:rPr>
        <w:t xml:space="preserve"> </w:t>
      </w:r>
    </w:p>
    <w:p w:rsidR="00C12261" w:rsidRPr="00C319AB" w:rsidRDefault="00C12261" w:rsidP="00C12261">
      <w:pPr>
        <w:spacing w:after="0" w:line="240" w:lineRule="auto"/>
        <w:rPr>
          <w:rFonts w:cstheme="minorHAnsi"/>
          <w:highlight w:val="yellow"/>
        </w:rPr>
      </w:pPr>
      <w:r w:rsidRPr="00C319AB">
        <w:rPr>
          <w:rFonts w:cstheme="minorHAnsi"/>
          <w:highlight w:val="yellow"/>
        </w:rPr>
        <w:t>Annual Measures</w:t>
      </w:r>
    </w:p>
    <w:p w:rsidR="00C12261" w:rsidRPr="00C319AB" w:rsidRDefault="00C12261" w:rsidP="00C12261">
      <w:pPr>
        <w:pStyle w:val="ListParagraph"/>
        <w:numPr>
          <w:ilvl w:val="0"/>
          <w:numId w:val="3"/>
        </w:numPr>
        <w:spacing w:after="0" w:line="240" w:lineRule="auto"/>
        <w:rPr>
          <w:rFonts w:cstheme="minorHAnsi"/>
          <w:highlight w:val="yellow"/>
        </w:rPr>
      </w:pPr>
      <w:r w:rsidRPr="00C319AB">
        <w:rPr>
          <w:rFonts w:cstheme="minorHAnsi"/>
          <w:highlight w:val="yellow"/>
        </w:rPr>
        <w:t xml:space="preserve">Percent of change for # of patients </w:t>
      </w:r>
      <w:r w:rsidR="00C319AB" w:rsidRPr="00C319AB">
        <w:rPr>
          <w:rFonts w:cstheme="minorHAnsi"/>
          <w:highlight w:val="yellow"/>
        </w:rPr>
        <w:t>completed treatment</w:t>
      </w:r>
      <w:r w:rsidRPr="00C319AB">
        <w:rPr>
          <w:rFonts w:cstheme="minorHAnsi"/>
          <w:highlight w:val="yellow"/>
        </w:rPr>
        <w:t xml:space="preserve"> If the </w:t>
      </w:r>
      <w:r w:rsidR="00C319AB" w:rsidRPr="00C319AB">
        <w:rPr>
          <w:rFonts w:cstheme="minorHAnsi"/>
          <w:highlight w:val="yellow"/>
        </w:rPr>
        <w:t>provider has</w:t>
      </w:r>
      <w:r w:rsidRPr="00C319AB">
        <w:rPr>
          <w:rFonts w:cstheme="minorHAnsi"/>
          <w:highlight w:val="yellow"/>
        </w:rPr>
        <w:t xml:space="preserve"> little change for the percentage of discharges that completed treatment, the provider will be placed on the DHS DASA watch list and will be required to submit a corrective action plan within 30 days of notification of this status</w:t>
      </w:r>
      <w:r w:rsidRPr="00C319AB">
        <w:rPr>
          <w:rFonts w:cstheme="minorHAnsi"/>
          <w:b/>
          <w:highlight w:val="yellow"/>
        </w:rPr>
        <w:t xml:space="preserve">. </w:t>
      </w:r>
    </w:p>
    <w:p w:rsidR="00C12261" w:rsidRPr="00C319AB" w:rsidRDefault="00C12261" w:rsidP="00C12261">
      <w:pPr>
        <w:pStyle w:val="ListParagraph"/>
        <w:spacing w:after="0" w:line="240" w:lineRule="auto"/>
        <w:ind w:left="465"/>
        <w:rPr>
          <w:rFonts w:cstheme="minorHAnsi"/>
          <w:highlight w:val="yellow"/>
        </w:rPr>
      </w:pPr>
    </w:p>
    <w:p w:rsidR="00C12261" w:rsidRPr="00C319AB" w:rsidRDefault="00C12261" w:rsidP="00C12261">
      <w:pPr>
        <w:pStyle w:val="ListParagraph"/>
        <w:numPr>
          <w:ilvl w:val="0"/>
          <w:numId w:val="3"/>
        </w:numPr>
        <w:spacing w:after="0" w:line="240" w:lineRule="auto"/>
        <w:rPr>
          <w:rFonts w:cstheme="minorHAnsi"/>
          <w:highlight w:val="yellow"/>
        </w:rPr>
      </w:pPr>
      <w:r w:rsidRPr="00C319AB">
        <w:rPr>
          <w:rFonts w:cstheme="minorHAnsi"/>
          <w:highlight w:val="yellow"/>
        </w:rPr>
        <w:t xml:space="preserve">Percent of change  for # of </w:t>
      </w:r>
      <w:r w:rsidRPr="00C319AB">
        <w:rPr>
          <w:rFonts w:cstheme="minorHAnsi"/>
          <w:highlight w:val="yellow"/>
          <w:u w:val="single"/>
        </w:rPr>
        <w:t>closed</w:t>
      </w:r>
      <w:r w:rsidRPr="00C319AB">
        <w:rPr>
          <w:rFonts w:cstheme="minorHAnsi"/>
          <w:highlight w:val="yellow"/>
        </w:rPr>
        <w:t xml:space="preserve"> patients abstinent from alcohol If the provider has little change for the percentage of discharges that are abstinent from alcohol, the provider will be placed on the DHS DASA watch list and will be required to submit a corrective action plan within 30 days of notification of this status. . (current)</w:t>
      </w:r>
    </w:p>
    <w:p w:rsidR="00C12261" w:rsidRPr="00C319AB" w:rsidRDefault="00C12261" w:rsidP="00C12261">
      <w:pPr>
        <w:spacing w:after="0" w:line="240" w:lineRule="auto"/>
        <w:rPr>
          <w:rFonts w:cstheme="minorHAnsi"/>
          <w:highlight w:val="yellow"/>
        </w:rPr>
      </w:pPr>
    </w:p>
    <w:p w:rsidR="00C12261" w:rsidRPr="00C319AB" w:rsidRDefault="00C12261" w:rsidP="00C12261">
      <w:pPr>
        <w:pStyle w:val="ListParagraph"/>
        <w:numPr>
          <w:ilvl w:val="0"/>
          <w:numId w:val="3"/>
        </w:numPr>
        <w:spacing w:after="0" w:line="240" w:lineRule="auto"/>
        <w:rPr>
          <w:rFonts w:cstheme="minorHAnsi"/>
          <w:highlight w:val="yellow"/>
        </w:rPr>
      </w:pPr>
      <w:r w:rsidRPr="00C319AB">
        <w:rPr>
          <w:rFonts w:cstheme="minorHAnsi"/>
          <w:highlight w:val="yellow"/>
        </w:rPr>
        <w:t xml:space="preserve">Percent of change for # of </w:t>
      </w:r>
      <w:r w:rsidRPr="00C319AB">
        <w:rPr>
          <w:rFonts w:cstheme="minorHAnsi"/>
          <w:highlight w:val="yellow"/>
          <w:u w:val="single"/>
        </w:rPr>
        <w:t xml:space="preserve">closed </w:t>
      </w:r>
      <w:r w:rsidRPr="00C319AB">
        <w:rPr>
          <w:rFonts w:cstheme="minorHAnsi"/>
          <w:highlight w:val="yellow"/>
        </w:rPr>
        <w:t>patients abstinent from Drugs If the provider is  has little change  for the percentage of discharges that are abstinent from alcohol, the provider will be placed on the DHS DASA watch list and will be required to submit a corrective action plan within 30 days of notification of this status. . (current)</w:t>
      </w:r>
      <w:bookmarkStart w:id="0" w:name="_GoBack"/>
      <w:bookmarkEnd w:id="0"/>
    </w:p>
    <w:p w:rsidR="00C12261" w:rsidRPr="00C319AB" w:rsidRDefault="00C12261" w:rsidP="00C12261">
      <w:pPr>
        <w:pStyle w:val="ListParagraph"/>
        <w:spacing w:after="0" w:line="240" w:lineRule="auto"/>
        <w:rPr>
          <w:rFonts w:cstheme="minorHAnsi"/>
        </w:rPr>
      </w:pPr>
    </w:p>
    <w:p w:rsidR="00C12261" w:rsidRPr="00C319AB" w:rsidRDefault="00C12261" w:rsidP="003831D6">
      <w:pPr>
        <w:pStyle w:val="NoSpacing"/>
        <w:rPr>
          <w:rFonts w:cstheme="minorHAnsi"/>
        </w:rPr>
      </w:pPr>
    </w:p>
    <w:p w:rsidR="00C12261" w:rsidRPr="00C319AB" w:rsidRDefault="00C12261" w:rsidP="003831D6">
      <w:pPr>
        <w:pStyle w:val="NoSpacing"/>
        <w:rPr>
          <w:rFonts w:cstheme="minorHAnsi"/>
        </w:rPr>
      </w:pPr>
    </w:p>
    <w:p w:rsidR="005254B2" w:rsidRPr="00C319AB" w:rsidRDefault="005254B2" w:rsidP="005254B2">
      <w:pPr>
        <w:pStyle w:val="NoSpacing"/>
        <w:rPr>
          <w:rFonts w:cstheme="minorHAnsi"/>
        </w:rPr>
      </w:pPr>
    </w:p>
    <w:sectPr w:rsidR="005254B2" w:rsidRPr="00C31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E1965"/>
    <w:multiLevelType w:val="hybridMultilevel"/>
    <w:tmpl w:val="A51CC5C0"/>
    <w:lvl w:ilvl="0" w:tplc="7980C2A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3F3D510A"/>
    <w:multiLevelType w:val="hybridMultilevel"/>
    <w:tmpl w:val="DA22FAC8"/>
    <w:lvl w:ilvl="0" w:tplc="61DCA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DF2563"/>
    <w:multiLevelType w:val="hybridMultilevel"/>
    <w:tmpl w:val="515A4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971259"/>
    <w:multiLevelType w:val="hybridMultilevel"/>
    <w:tmpl w:val="21FC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B2"/>
    <w:rsid w:val="000847AE"/>
    <w:rsid w:val="001069C5"/>
    <w:rsid w:val="0012462F"/>
    <w:rsid w:val="00191904"/>
    <w:rsid w:val="003831D6"/>
    <w:rsid w:val="00387382"/>
    <w:rsid w:val="005254B2"/>
    <w:rsid w:val="0064685D"/>
    <w:rsid w:val="006E1C3C"/>
    <w:rsid w:val="007E0D96"/>
    <w:rsid w:val="008F231A"/>
    <w:rsid w:val="009524E1"/>
    <w:rsid w:val="00A2715A"/>
    <w:rsid w:val="00A30BE9"/>
    <w:rsid w:val="00B32CAF"/>
    <w:rsid w:val="00C12261"/>
    <w:rsid w:val="00C319AB"/>
    <w:rsid w:val="00C43E61"/>
    <w:rsid w:val="00EB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4B2"/>
    <w:pPr>
      <w:spacing w:after="0" w:line="240" w:lineRule="auto"/>
    </w:pPr>
  </w:style>
  <w:style w:type="paragraph" w:styleId="ListParagraph">
    <w:name w:val="List Paragraph"/>
    <w:basedOn w:val="Normal"/>
    <w:uiPriority w:val="34"/>
    <w:qFormat/>
    <w:rsid w:val="001069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4B2"/>
    <w:pPr>
      <w:spacing w:after="0" w:line="240" w:lineRule="auto"/>
    </w:pPr>
  </w:style>
  <w:style w:type="paragraph" w:styleId="ListParagraph">
    <w:name w:val="List Paragraph"/>
    <w:basedOn w:val="Normal"/>
    <w:uiPriority w:val="34"/>
    <w:qFormat/>
    <w:rsid w:val="00106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1653</Words>
  <Characters>9426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Joseph</dc:creator>
  <cp:lastModifiedBy>Dunlap, Kathy</cp:lastModifiedBy>
  <cp:revision>2</cp:revision>
  <dcterms:created xsi:type="dcterms:W3CDTF">2017-07-25T17:40:00Z</dcterms:created>
  <dcterms:modified xsi:type="dcterms:W3CDTF">2017-07-25T17:40:00Z</dcterms:modified>
</cp:coreProperties>
</file>