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47" w:rsidRPr="00AF1547" w:rsidRDefault="00AF1547" w:rsidP="00AF1547">
      <w:pPr>
        <w:pBdr>
          <w:bottom w:val="single" w:sz="6" w:space="1" w:color="auto"/>
        </w:pBdr>
        <w:jc w:val="center"/>
        <w:rPr>
          <w:rFonts w:ascii="Arial" w:eastAsia="Times New Roman" w:hAnsi="Arial" w:cs="Arial"/>
          <w:vanish/>
          <w:sz w:val="16"/>
          <w:szCs w:val="16"/>
        </w:rPr>
      </w:pPr>
      <w:r w:rsidRPr="00AF1547">
        <w:rPr>
          <w:rFonts w:ascii="Arial" w:eastAsia="Times New Roman" w:hAnsi="Arial" w:cs="Arial"/>
          <w:vanish/>
          <w:sz w:val="16"/>
          <w:szCs w:val="16"/>
        </w:rPr>
        <w:t>Top of Form</w:t>
      </w:r>
    </w:p>
    <w:p w:rsidR="00AF1547" w:rsidRPr="00AF1547" w:rsidRDefault="003068CF" w:rsidP="00AF1547">
      <w:pPr>
        <w:shd w:val="clear" w:color="auto" w:fill="FFFFFF"/>
        <w:rPr>
          <w:rFonts w:ascii="Verdana" w:eastAsia="Times New Roman" w:hAnsi="Verdana" w:cs="Times New Roman"/>
          <w:color w:val="333333"/>
          <w:sz w:val="19"/>
          <w:szCs w:val="19"/>
        </w:rPr>
      </w:pPr>
      <w:r w:rsidRPr="00AF1547">
        <w:rPr>
          <w:rFonts w:ascii="Verdana" w:eastAsia="Times New Roman" w:hAnsi="Verdana" w:cs="Times New Roman"/>
          <w:color w:val="333333"/>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3pt" o:ole="">
            <v:imagedata r:id="rId8" o:title=""/>
          </v:shape>
          <w:control r:id="rId9" w:name="DefaultOcxName" w:shapeid="_x0000_i1028"/>
        </w:object>
      </w:r>
    </w:p>
    <w:p w:rsidR="00AF1547" w:rsidRPr="00AF1547" w:rsidRDefault="00FD29D3" w:rsidP="00AF1547">
      <w:pPr>
        <w:spacing w:before="120" w:after="120"/>
        <w:rPr>
          <w:rFonts w:ascii="Verdana" w:eastAsia="Times New Roman" w:hAnsi="Verdana" w:cs="Times New Roman"/>
          <w:color w:val="333333"/>
          <w:sz w:val="19"/>
          <w:szCs w:val="19"/>
        </w:rPr>
      </w:pPr>
      <w:r>
        <w:rPr>
          <w:rFonts w:ascii="Verdana" w:eastAsia="Times New Roman" w:hAnsi="Verdana" w:cs="Times New Roman"/>
          <w:color w:val="333333"/>
          <w:sz w:val="19"/>
          <w:szCs w:val="19"/>
        </w:rPr>
        <w:t>For FY1</w:t>
      </w:r>
      <w:r w:rsidR="00E0411C">
        <w:rPr>
          <w:rFonts w:ascii="Verdana" w:eastAsia="Times New Roman" w:hAnsi="Verdana" w:cs="Times New Roman"/>
          <w:color w:val="333333"/>
          <w:sz w:val="19"/>
          <w:szCs w:val="19"/>
        </w:rPr>
        <w:t>7</w:t>
      </w:r>
      <w:r w:rsidR="008A71E8">
        <w:rPr>
          <w:rFonts w:ascii="Verdana" w:eastAsia="Times New Roman" w:hAnsi="Verdana" w:cs="Times New Roman"/>
          <w:color w:val="333333"/>
          <w:sz w:val="19"/>
          <w:szCs w:val="19"/>
        </w:rPr>
        <w:t xml:space="preserve"> Better Birth Outcomes </w:t>
      </w:r>
      <w:r>
        <w:rPr>
          <w:rFonts w:ascii="Verdana" w:eastAsia="Times New Roman" w:hAnsi="Verdana" w:cs="Times New Roman"/>
          <w:color w:val="333333"/>
          <w:sz w:val="19"/>
          <w:szCs w:val="19"/>
        </w:rPr>
        <w:t>p</w:t>
      </w:r>
      <w:r w:rsidR="00AF1547" w:rsidRPr="00AF1547">
        <w:rPr>
          <w:rFonts w:ascii="Verdana" w:eastAsia="Times New Roman" w:hAnsi="Verdana" w:cs="Times New Roman"/>
          <w:color w:val="333333"/>
          <w:sz w:val="19"/>
          <w:szCs w:val="19"/>
        </w:rPr>
        <w:t xml:space="preserve">rovider agencies </w:t>
      </w:r>
      <w:r w:rsidR="008A71E8">
        <w:rPr>
          <w:rFonts w:ascii="Verdana" w:eastAsia="Times New Roman" w:hAnsi="Verdana" w:cs="Times New Roman"/>
          <w:color w:val="333333"/>
          <w:sz w:val="19"/>
          <w:szCs w:val="19"/>
        </w:rPr>
        <w:t>must u</w:t>
      </w:r>
      <w:r w:rsidR="00AF1547" w:rsidRPr="00AF1547">
        <w:rPr>
          <w:rFonts w:ascii="Verdana" w:eastAsia="Times New Roman" w:hAnsi="Verdana" w:cs="Times New Roman"/>
          <w:color w:val="333333"/>
          <w:sz w:val="19"/>
          <w:szCs w:val="19"/>
        </w:rPr>
        <w:t xml:space="preserve">se the </w:t>
      </w:r>
      <w:hyperlink r:id="rId10" w:history="1">
        <w:r w:rsidR="00FA0FDF">
          <w:rPr>
            <w:rFonts w:ascii="Verdana" w:eastAsia="Times New Roman" w:hAnsi="Verdana" w:cs="Times New Roman"/>
            <w:color w:val="003366"/>
            <w:sz w:val="19"/>
            <w:u w:val="single"/>
          </w:rPr>
          <w:t>BBO Ex</w:t>
        </w:r>
        <w:r w:rsidR="00AF1547" w:rsidRPr="00AF1547">
          <w:rPr>
            <w:rFonts w:ascii="Verdana" w:eastAsia="Times New Roman" w:hAnsi="Verdana" w:cs="Times New Roman"/>
            <w:color w:val="003366"/>
            <w:sz w:val="19"/>
            <w:u w:val="single"/>
          </w:rPr>
          <w:t>penditure Documentation Form (EDF)</w:t>
        </w:r>
      </w:hyperlink>
      <w:r w:rsidR="00AF1547" w:rsidRPr="00AF1547">
        <w:rPr>
          <w:rFonts w:ascii="Verdana" w:eastAsia="Times New Roman" w:hAnsi="Verdana" w:cs="Times New Roman"/>
          <w:color w:val="333333"/>
          <w:sz w:val="19"/>
          <w:szCs w:val="19"/>
        </w:rPr>
        <w:t xml:space="preserve"> to </w:t>
      </w:r>
      <w:r w:rsidR="00FA0FDF">
        <w:rPr>
          <w:rFonts w:ascii="Verdana" w:eastAsia="Times New Roman" w:hAnsi="Verdana" w:cs="Times New Roman"/>
          <w:color w:val="333333"/>
          <w:sz w:val="19"/>
          <w:szCs w:val="19"/>
        </w:rPr>
        <w:t xml:space="preserve">report </w:t>
      </w:r>
      <w:r w:rsidRPr="00FD29D3">
        <w:rPr>
          <w:rFonts w:ascii="Verdana" w:eastAsia="Times New Roman" w:hAnsi="Verdana" w:cs="Times New Roman"/>
          <w:b/>
          <w:color w:val="333333"/>
          <w:sz w:val="19"/>
          <w:szCs w:val="19"/>
          <w:u w:val="single"/>
        </w:rPr>
        <w:t>all</w:t>
      </w:r>
      <w:r>
        <w:rPr>
          <w:rFonts w:ascii="Verdana" w:eastAsia="Times New Roman" w:hAnsi="Verdana" w:cs="Times New Roman"/>
          <w:color w:val="333333"/>
          <w:sz w:val="19"/>
          <w:szCs w:val="19"/>
        </w:rPr>
        <w:t xml:space="preserve"> </w:t>
      </w:r>
      <w:r w:rsidR="00AF1547" w:rsidRPr="00AF1547">
        <w:rPr>
          <w:rFonts w:ascii="Verdana" w:eastAsia="Times New Roman" w:hAnsi="Verdana" w:cs="Times New Roman"/>
          <w:color w:val="333333"/>
          <w:sz w:val="19"/>
          <w:szCs w:val="19"/>
        </w:rPr>
        <w:t xml:space="preserve">expenditures. </w:t>
      </w:r>
      <w:r w:rsidR="00A94236">
        <w:rPr>
          <w:rFonts w:ascii="Verdana" w:eastAsia="Times New Roman" w:hAnsi="Verdana" w:cs="Times New Roman"/>
          <w:b/>
          <w:color w:val="333333"/>
          <w:sz w:val="19"/>
          <w:szCs w:val="19"/>
        </w:rPr>
        <w:t xml:space="preserve">DO NOT USE THE DEPARTMENT’S GENERIC EDF FORM TO SUBMIT BBO EXPENDITURES.  </w:t>
      </w:r>
      <w:r w:rsidR="008A71E8">
        <w:rPr>
          <w:rFonts w:ascii="Verdana" w:eastAsia="Times New Roman" w:hAnsi="Verdana" w:cs="Times New Roman"/>
          <w:color w:val="333333"/>
          <w:sz w:val="19"/>
          <w:szCs w:val="19"/>
        </w:rPr>
        <w:t>T</w:t>
      </w:r>
      <w:r w:rsidR="002C11FD">
        <w:rPr>
          <w:rFonts w:ascii="Verdana" w:eastAsia="Times New Roman" w:hAnsi="Verdana" w:cs="Times New Roman"/>
          <w:color w:val="333333"/>
          <w:sz w:val="19"/>
          <w:szCs w:val="19"/>
        </w:rPr>
        <w:t xml:space="preserve">he electronic format </w:t>
      </w:r>
      <w:r w:rsidR="008A71E8">
        <w:rPr>
          <w:rFonts w:ascii="Verdana" w:eastAsia="Times New Roman" w:hAnsi="Verdana" w:cs="Times New Roman"/>
          <w:color w:val="333333"/>
          <w:sz w:val="19"/>
          <w:szCs w:val="19"/>
        </w:rPr>
        <w:t xml:space="preserve">of the EDF </w:t>
      </w:r>
      <w:r w:rsidR="002C11FD">
        <w:rPr>
          <w:rFonts w:ascii="Verdana" w:eastAsia="Times New Roman" w:hAnsi="Verdana" w:cs="Times New Roman"/>
          <w:color w:val="333333"/>
          <w:sz w:val="19"/>
          <w:szCs w:val="19"/>
        </w:rPr>
        <w:t xml:space="preserve">is in Excel so that calculations will automatically occur as expenses are entered.  </w:t>
      </w:r>
      <w:r w:rsidR="00AF1547" w:rsidRPr="00AF1547">
        <w:rPr>
          <w:rFonts w:ascii="Verdana" w:eastAsia="Times New Roman" w:hAnsi="Verdana" w:cs="Times New Roman"/>
          <w:color w:val="333333"/>
          <w:sz w:val="19"/>
          <w:szCs w:val="19"/>
        </w:rPr>
        <w:t xml:space="preserve">The amounts reported must be the total expenditures for the period for a single program. </w:t>
      </w:r>
      <w:r w:rsidR="009643EA">
        <w:rPr>
          <w:rFonts w:ascii="Verdana" w:eastAsia="Times New Roman" w:hAnsi="Verdana" w:cs="Times New Roman"/>
          <w:color w:val="333333"/>
          <w:sz w:val="19"/>
          <w:szCs w:val="19"/>
        </w:rPr>
        <w:t xml:space="preserve"> </w:t>
      </w:r>
      <w:r>
        <w:rPr>
          <w:rFonts w:ascii="Verdana" w:eastAsia="Times New Roman" w:hAnsi="Verdana" w:cs="Times New Roman"/>
          <w:color w:val="333333"/>
          <w:sz w:val="19"/>
          <w:szCs w:val="19"/>
        </w:rPr>
        <w:t xml:space="preserve">The instructions below will assist you in completing the EDF:  </w:t>
      </w:r>
    </w:p>
    <w:p w:rsidR="00AF1547" w:rsidRPr="00AF1547" w:rsidRDefault="00AF1547" w:rsidP="00AF1547">
      <w:pPr>
        <w:numPr>
          <w:ilvl w:val="0"/>
          <w:numId w:val="1"/>
        </w:numPr>
        <w:spacing w:before="120" w:after="120"/>
        <w:ind w:left="2"/>
        <w:rPr>
          <w:rFonts w:ascii="Verdana" w:eastAsia="Times New Roman" w:hAnsi="Verdana" w:cs="Times New Roman"/>
          <w:color w:val="333333"/>
          <w:sz w:val="19"/>
          <w:szCs w:val="19"/>
        </w:rPr>
      </w:pPr>
      <w:r w:rsidRPr="00AF1547">
        <w:rPr>
          <w:rFonts w:ascii="Verdana" w:eastAsia="Times New Roman" w:hAnsi="Verdana" w:cs="Times New Roman"/>
          <w:color w:val="333333"/>
          <w:sz w:val="19"/>
          <w:szCs w:val="19"/>
        </w:rPr>
        <w:t xml:space="preserve">Person Completing Form - Contact person </w:t>
      </w:r>
      <w:r w:rsidRPr="008A71E8">
        <w:rPr>
          <w:rFonts w:ascii="Verdana" w:eastAsia="Times New Roman" w:hAnsi="Verdana" w:cs="Times New Roman"/>
          <w:b/>
          <w:color w:val="333333"/>
          <w:sz w:val="19"/>
          <w:szCs w:val="19"/>
        </w:rPr>
        <w:t>(Mandatory)</w:t>
      </w:r>
      <w:r w:rsidRPr="00AF1547">
        <w:rPr>
          <w:rFonts w:ascii="Verdana" w:eastAsia="Times New Roman" w:hAnsi="Verdana" w:cs="Times New Roman"/>
          <w:color w:val="333333"/>
          <w:sz w:val="19"/>
          <w:szCs w:val="19"/>
        </w:rPr>
        <w:t xml:space="preserve"> </w:t>
      </w:r>
    </w:p>
    <w:p w:rsidR="00AF1547" w:rsidRDefault="00AF1547" w:rsidP="00AF1547">
      <w:pPr>
        <w:numPr>
          <w:ilvl w:val="0"/>
          <w:numId w:val="1"/>
        </w:numPr>
        <w:spacing w:before="120" w:after="120"/>
        <w:ind w:left="2"/>
        <w:rPr>
          <w:rFonts w:ascii="Verdana" w:eastAsia="Times New Roman" w:hAnsi="Verdana" w:cs="Times New Roman"/>
          <w:color w:val="333333"/>
          <w:sz w:val="19"/>
          <w:szCs w:val="19"/>
        </w:rPr>
      </w:pPr>
      <w:r w:rsidRPr="00AF1547">
        <w:rPr>
          <w:rFonts w:ascii="Verdana" w:eastAsia="Times New Roman" w:hAnsi="Verdana" w:cs="Times New Roman"/>
          <w:color w:val="333333"/>
          <w:sz w:val="19"/>
          <w:szCs w:val="19"/>
        </w:rPr>
        <w:t>Phone</w:t>
      </w:r>
      <w:r w:rsidR="00FD29D3">
        <w:rPr>
          <w:rFonts w:ascii="Verdana" w:eastAsia="Times New Roman" w:hAnsi="Verdana" w:cs="Times New Roman"/>
          <w:color w:val="333333"/>
          <w:sz w:val="19"/>
          <w:szCs w:val="19"/>
        </w:rPr>
        <w:t xml:space="preserve"> &amp; Ext</w:t>
      </w:r>
      <w:r w:rsidRPr="00AF1547">
        <w:rPr>
          <w:rFonts w:ascii="Verdana" w:eastAsia="Times New Roman" w:hAnsi="Verdana" w:cs="Times New Roman"/>
          <w:color w:val="333333"/>
          <w:sz w:val="19"/>
          <w:szCs w:val="19"/>
        </w:rPr>
        <w:t xml:space="preserve"> - List the phone number and extension for a contact person who will be able to answer questions concerning the submitted expenditure form. </w:t>
      </w:r>
      <w:r w:rsidRPr="008A71E8">
        <w:rPr>
          <w:rFonts w:ascii="Verdana" w:eastAsia="Times New Roman" w:hAnsi="Verdana" w:cs="Times New Roman"/>
          <w:b/>
          <w:color w:val="333333"/>
          <w:sz w:val="19"/>
          <w:szCs w:val="19"/>
        </w:rPr>
        <w:t>(Mandatory)</w:t>
      </w:r>
      <w:r w:rsidRPr="00AF1547">
        <w:rPr>
          <w:rFonts w:ascii="Verdana" w:eastAsia="Times New Roman" w:hAnsi="Verdana" w:cs="Times New Roman"/>
          <w:color w:val="333333"/>
          <w:sz w:val="19"/>
          <w:szCs w:val="19"/>
        </w:rPr>
        <w:t xml:space="preserve"> </w:t>
      </w:r>
    </w:p>
    <w:p w:rsidR="009643EA" w:rsidRPr="008A71E8" w:rsidRDefault="009643EA" w:rsidP="00AF1547">
      <w:pPr>
        <w:numPr>
          <w:ilvl w:val="0"/>
          <w:numId w:val="1"/>
        </w:numPr>
        <w:spacing w:before="120" w:after="120"/>
        <w:ind w:left="2"/>
        <w:rPr>
          <w:rFonts w:ascii="Verdana" w:eastAsia="Times New Roman" w:hAnsi="Verdana" w:cs="Times New Roman"/>
          <w:color w:val="333333"/>
          <w:sz w:val="19"/>
          <w:szCs w:val="19"/>
        </w:rPr>
      </w:pPr>
      <w:r>
        <w:rPr>
          <w:rFonts w:ascii="Verdana" w:eastAsia="Times New Roman" w:hAnsi="Verdana" w:cs="Times New Roman"/>
          <w:color w:val="333333"/>
          <w:sz w:val="19"/>
          <w:szCs w:val="19"/>
        </w:rPr>
        <w:t>Email Address – Provide the email address of the contact person</w:t>
      </w:r>
      <w:r w:rsidR="008A71E8">
        <w:rPr>
          <w:rFonts w:ascii="Verdana" w:eastAsia="Times New Roman" w:hAnsi="Verdana" w:cs="Times New Roman"/>
          <w:color w:val="333333"/>
          <w:sz w:val="19"/>
          <w:szCs w:val="19"/>
        </w:rPr>
        <w:t xml:space="preserve"> </w:t>
      </w:r>
      <w:r w:rsidR="008A71E8">
        <w:rPr>
          <w:rFonts w:ascii="Verdana" w:eastAsia="Times New Roman" w:hAnsi="Verdana" w:cs="Times New Roman"/>
          <w:b/>
          <w:color w:val="333333"/>
          <w:sz w:val="19"/>
          <w:szCs w:val="19"/>
        </w:rPr>
        <w:t>(Mandatory)</w:t>
      </w:r>
    </w:p>
    <w:p w:rsidR="008A71E8" w:rsidRPr="00AF1547" w:rsidRDefault="008A71E8" w:rsidP="00AF1547">
      <w:pPr>
        <w:numPr>
          <w:ilvl w:val="0"/>
          <w:numId w:val="1"/>
        </w:numPr>
        <w:spacing w:before="120" w:after="120"/>
        <w:ind w:left="2"/>
        <w:rPr>
          <w:rFonts w:ascii="Verdana" w:eastAsia="Times New Roman" w:hAnsi="Verdana" w:cs="Times New Roman"/>
          <w:color w:val="333333"/>
          <w:sz w:val="19"/>
          <w:szCs w:val="19"/>
        </w:rPr>
      </w:pPr>
      <w:r>
        <w:rPr>
          <w:rFonts w:ascii="Verdana" w:eastAsia="Times New Roman" w:hAnsi="Verdana" w:cs="Times New Roman"/>
          <w:color w:val="333333"/>
          <w:sz w:val="19"/>
          <w:szCs w:val="19"/>
        </w:rPr>
        <w:t xml:space="preserve">Cumulative Amount Year-to-Date – Please enter an updated amount each month in this designated box </w:t>
      </w:r>
      <w:r>
        <w:rPr>
          <w:rFonts w:ascii="Verdana" w:eastAsia="Times New Roman" w:hAnsi="Verdana" w:cs="Times New Roman"/>
          <w:b/>
          <w:color w:val="333333"/>
          <w:sz w:val="19"/>
          <w:szCs w:val="19"/>
        </w:rPr>
        <w:t>(Mandatory)</w:t>
      </w:r>
    </w:p>
    <w:p w:rsidR="00AF1547" w:rsidRPr="00AF1547" w:rsidRDefault="00AF1547" w:rsidP="00AF1547">
      <w:pPr>
        <w:numPr>
          <w:ilvl w:val="0"/>
          <w:numId w:val="1"/>
        </w:numPr>
        <w:spacing w:before="120" w:after="120"/>
        <w:ind w:left="2"/>
        <w:rPr>
          <w:rFonts w:ascii="Verdana" w:eastAsia="Times New Roman" w:hAnsi="Verdana" w:cs="Times New Roman"/>
          <w:color w:val="333333"/>
          <w:sz w:val="19"/>
          <w:szCs w:val="19"/>
        </w:rPr>
      </w:pPr>
      <w:r w:rsidRPr="00AF1547">
        <w:rPr>
          <w:rFonts w:ascii="Verdana" w:eastAsia="Times New Roman" w:hAnsi="Verdana" w:cs="Times New Roman"/>
          <w:color w:val="333333"/>
          <w:sz w:val="19"/>
          <w:szCs w:val="19"/>
        </w:rPr>
        <w:t xml:space="preserve">Amount </w:t>
      </w:r>
      <w:r w:rsidR="009643EA">
        <w:rPr>
          <w:rFonts w:ascii="Verdana" w:eastAsia="Times New Roman" w:hAnsi="Verdana" w:cs="Times New Roman"/>
          <w:color w:val="333333"/>
          <w:sz w:val="19"/>
          <w:szCs w:val="19"/>
        </w:rPr>
        <w:t xml:space="preserve">Claimed </w:t>
      </w:r>
      <w:r w:rsidRPr="00AF1547">
        <w:rPr>
          <w:rFonts w:ascii="Verdana" w:eastAsia="Times New Roman" w:hAnsi="Verdana" w:cs="Times New Roman"/>
          <w:color w:val="333333"/>
          <w:sz w:val="19"/>
          <w:szCs w:val="19"/>
        </w:rPr>
        <w:t>- Enter dollar amount for each month claimed. A report should be submitted</w:t>
      </w:r>
      <w:r w:rsidR="00FA0FDF">
        <w:rPr>
          <w:rFonts w:ascii="Verdana" w:eastAsia="Times New Roman" w:hAnsi="Verdana" w:cs="Times New Roman"/>
          <w:color w:val="333333"/>
          <w:sz w:val="19"/>
          <w:szCs w:val="19"/>
        </w:rPr>
        <w:t>, showing $0.00 as the expenditure,</w:t>
      </w:r>
      <w:r w:rsidRPr="00AF1547">
        <w:rPr>
          <w:rFonts w:ascii="Verdana" w:eastAsia="Times New Roman" w:hAnsi="Verdana" w:cs="Times New Roman"/>
          <w:color w:val="333333"/>
          <w:sz w:val="19"/>
          <w:szCs w:val="19"/>
        </w:rPr>
        <w:t xml:space="preserve"> even when no dollars are spent to assure that there are no gaps in documentation. </w:t>
      </w:r>
      <w:r w:rsidRPr="008A71E8">
        <w:rPr>
          <w:rFonts w:ascii="Verdana" w:eastAsia="Times New Roman" w:hAnsi="Verdana" w:cs="Times New Roman"/>
          <w:b/>
          <w:color w:val="333333"/>
          <w:sz w:val="19"/>
          <w:szCs w:val="19"/>
        </w:rPr>
        <w:t>(Mandatory)</w:t>
      </w:r>
      <w:r w:rsidRPr="00AF1547">
        <w:rPr>
          <w:rFonts w:ascii="Verdana" w:eastAsia="Times New Roman" w:hAnsi="Verdana" w:cs="Times New Roman"/>
          <w:color w:val="333333"/>
          <w:sz w:val="19"/>
          <w:szCs w:val="19"/>
        </w:rPr>
        <w:t xml:space="preserve"> </w:t>
      </w:r>
    </w:p>
    <w:p w:rsidR="00AF1547" w:rsidRPr="00FD29D3" w:rsidRDefault="00AF1547" w:rsidP="00AF1547">
      <w:pPr>
        <w:numPr>
          <w:ilvl w:val="0"/>
          <w:numId w:val="1"/>
        </w:numPr>
        <w:spacing w:before="120" w:after="120"/>
        <w:ind w:left="2"/>
        <w:rPr>
          <w:rFonts w:ascii="Verdana" w:eastAsia="Times New Roman" w:hAnsi="Verdana" w:cs="Times New Roman"/>
          <w:color w:val="333333"/>
          <w:sz w:val="19"/>
          <w:szCs w:val="19"/>
          <w:u w:val="single"/>
        </w:rPr>
      </w:pPr>
      <w:r w:rsidRPr="00AF1547">
        <w:rPr>
          <w:rFonts w:ascii="Verdana" w:eastAsia="Times New Roman" w:hAnsi="Verdana" w:cs="Times New Roman"/>
          <w:color w:val="333333"/>
          <w:sz w:val="19"/>
          <w:szCs w:val="19"/>
        </w:rPr>
        <w:t xml:space="preserve">Personal Services/Fringes - All </w:t>
      </w:r>
      <w:r w:rsidR="009643EA">
        <w:rPr>
          <w:rFonts w:ascii="Verdana" w:eastAsia="Times New Roman" w:hAnsi="Verdana" w:cs="Times New Roman"/>
          <w:color w:val="333333"/>
          <w:sz w:val="19"/>
          <w:szCs w:val="19"/>
        </w:rPr>
        <w:t>BBO s</w:t>
      </w:r>
      <w:r w:rsidRPr="00AF1547">
        <w:rPr>
          <w:rFonts w:ascii="Verdana" w:eastAsia="Times New Roman" w:hAnsi="Verdana" w:cs="Times New Roman"/>
          <w:color w:val="333333"/>
          <w:sz w:val="19"/>
          <w:szCs w:val="19"/>
        </w:rPr>
        <w:t>taff whose salary and/or fringe benefits are paid in full or in part from grant funds for this program (fringe benefits are the employer's portion of fringe benefits actually paid on behalf of direct services employees)</w:t>
      </w:r>
      <w:r w:rsidR="009643EA">
        <w:rPr>
          <w:rFonts w:ascii="Verdana" w:eastAsia="Times New Roman" w:hAnsi="Verdana" w:cs="Times New Roman"/>
          <w:color w:val="333333"/>
          <w:sz w:val="19"/>
          <w:szCs w:val="19"/>
        </w:rPr>
        <w:t xml:space="preserve"> </w:t>
      </w:r>
      <w:r w:rsidRPr="00AF1547">
        <w:rPr>
          <w:rFonts w:ascii="Verdana" w:eastAsia="Times New Roman" w:hAnsi="Verdana" w:cs="Times New Roman"/>
          <w:color w:val="333333"/>
          <w:sz w:val="19"/>
          <w:szCs w:val="19"/>
        </w:rPr>
        <w:t xml:space="preserve"> </w:t>
      </w:r>
      <w:r w:rsidR="00FD29D3">
        <w:rPr>
          <w:rFonts w:ascii="Verdana" w:eastAsia="Times New Roman" w:hAnsi="Verdana" w:cs="Times New Roman"/>
          <w:color w:val="333333"/>
          <w:sz w:val="19"/>
          <w:szCs w:val="19"/>
        </w:rPr>
        <w:t xml:space="preserve">  </w:t>
      </w:r>
      <w:r w:rsidR="00FD29D3" w:rsidRPr="00FD29D3">
        <w:rPr>
          <w:rFonts w:ascii="Verdana" w:eastAsia="Times New Roman" w:hAnsi="Verdana" w:cs="Times New Roman"/>
          <w:color w:val="333333"/>
          <w:sz w:val="19"/>
          <w:szCs w:val="19"/>
          <w:u w:val="single"/>
        </w:rPr>
        <w:t>N</w:t>
      </w:r>
      <w:r w:rsidR="00FA0FDF">
        <w:rPr>
          <w:rFonts w:ascii="Verdana" w:eastAsia="Times New Roman" w:hAnsi="Verdana" w:cs="Times New Roman"/>
          <w:color w:val="333333"/>
          <w:sz w:val="19"/>
          <w:szCs w:val="19"/>
          <w:u w:val="single"/>
        </w:rPr>
        <w:t>OTE</w:t>
      </w:r>
      <w:r w:rsidR="00FD29D3" w:rsidRPr="00FD29D3">
        <w:rPr>
          <w:rFonts w:ascii="Verdana" w:eastAsia="Times New Roman" w:hAnsi="Verdana" w:cs="Times New Roman"/>
          <w:color w:val="333333"/>
          <w:sz w:val="19"/>
          <w:szCs w:val="19"/>
          <w:u w:val="single"/>
        </w:rPr>
        <w:t xml:space="preserve">:  For staff working in both Family Case Management </w:t>
      </w:r>
      <w:r w:rsidR="009643EA">
        <w:rPr>
          <w:rFonts w:ascii="Verdana" w:eastAsia="Times New Roman" w:hAnsi="Verdana" w:cs="Times New Roman"/>
          <w:color w:val="333333"/>
          <w:sz w:val="19"/>
          <w:szCs w:val="19"/>
          <w:u w:val="single"/>
        </w:rPr>
        <w:t xml:space="preserve">(FCM) </w:t>
      </w:r>
      <w:r w:rsidR="00FD29D3" w:rsidRPr="00FD29D3">
        <w:rPr>
          <w:rFonts w:ascii="Verdana" w:eastAsia="Times New Roman" w:hAnsi="Verdana" w:cs="Times New Roman"/>
          <w:color w:val="333333"/>
          <w:sz w:val="19"/>
          <w:szCs w:val="19"/>
          <w:u w:val="single"/>
        </w:rPr>
        <w:t xml:space="preserve">and </w:t>
      </w:r>
      <w:r w:rsidR="009643EA">
        <w:rPr>
          <w:rFonts w:ascii="Verdana" w:eastAsia="Times New Roman" w:hAnsi="Verdana" w:cs="Times New Roman"/>
          <w:color w:val="333333"/>
          <w:sz w:val="19"/>
          <w:szCs w:val="19"/>
          <w:u w:val="single"/>
        </w:rPr>
        <w:t xml:space="preserve">BBO enter the employee’s full salary/fringe amount as “staff expense” in the Cornerstone system; </w:t>
      </w:r>
      <w:r w:rsidR="002C11FD">
        <w:rPr>
          <w:rFonts w:ascii="Verdana" w:eastAsia="Times New Roman" w:hAnsi="Verdana" w:cs="Times New Roman"/>
          <w:color w:val="333333"/>
          <w:sz w:val="19"/>
          <w:szCs w:val="19"/>
          <w:u w:val="single"/>
        </w:rPr>
        <w:t xml:space="preserve">enter </w:t>
      </w:r>
      <w:r w:rsidR="009643EA">
        <w:rPr>
          <w:rFonts w:ascii="Verdana" w:eastAsia="Times New Roman" w:hAnsi="Verdana" w:cs="Times New Roman"/>
          <w:color w:val="333333"/>
          <w:sz w:val="19"/>
          <w:szCs w:val="19"/>
          <w:u w:val="single"/>
        </w:rPr>
        <w:t xml:space="preserve">the portion of the salary/fringe for time spent working in BBO </w:t>
      </w:r>
      <w:r w:rsidR="00FD29D3" w:rsidRPr="00FD29D3">
        <w:rPr>
          <w:rFonts w:ascii="Verdana" w:eastAsia="Times New Roman" w:hAnsi="Verdana" w:cs="Times New Roman"/>
          <w:color w:val="333333"/>
          <w:sz w:val="19"/>
          <w:szCs w:val="19"/>
          <w:u w:val="single"/>
        </w:rPr>
        <w:t xml:space="preserve">on the EDF.  </w:t>
      </w:r>
    </w:p>
    <w:p w:rsidR="00AF1547" w:rsidRPr="00AF1547" w:rsidRDefault="00AF1547" w:rsidP="00AF1547">
      <w:pPr>
        <w:numPr>
          <w:ilvl w:val="0"/>
          <w:numId w:val="1"/>
        </w:numPr>
        <w:spacing w:before="120" w:after="120"/>
        <w:ind w:left="2"/>
        <w:rPr>
          <w:rFonts w:ascii="Verdana" w:eastAsia="Times New Roman" w:hAnsi="Verdana" w:cs="Times New Roman"/>
          <w:color w:val="333333"/>
          <w:sz w:val="19"/>
          <w:szCs w:val="19"/>
        </w:rPr>
      </w:pPr>
      <w:r w:rsidRPr="00AF1547">
        <w:rPr>
          <w:rFonts w:ascii="Verdana" w:eastAsia="Times New Roman" w:hAnsi="Verdana" w:cs="Times New Roman"/>
          <w:color w:val="333333"/>
          <w:sz w:val="19"/>
          <w:szCs w:val="19"/>
        </w:rPr>
        <w:t xml:space="preserve">Contractual Services - This category includes such items as contractual employees or consultants, utilities, rent or lease of equipment, space or facilities, postage, repair and maintenance of furniture and equipment, software for support of program objectives, training and education costs, conference fees, membership dues/fees (agency memberships only), subscriptions. </w:t>
      </w:r>
    </w:p>
    <w:p w:rsidR="00AF1547" w:rsidRPr="00AF1547" w:rsidRDefault="00AF1547" w:rsidP="00AF1547">
      <w:pPr>
        <w:numPr>
          <w:ilvl w:val="0"/>
          <w:numId w:val="1"/>
        </w:numPr>
        <w:spacing w:before="120" w:after="120"/>
        <w:ind w:left="2"/>
        <w:rPr>
          <w:rFonts w:ascii="Verdana" w:eastAsia="Times New Roman" w:hAnsi="Verdana" w:cs="Times New Roman"/>
          <w:color w:val="333333"/>
          <w:sz w:val="19"/>
          <w:szCs w:val="19"/>
        </w:rPr>
      </w:pPr>
      <w:r w:rsidRPr="00AF1547">
        <w:rPr>
          <w:rFonts w:ascii="Verdana" w:eastAsia="Times New Roman" w:hAnsi="Verdana" w:cs="Times New Roman"/>
          <w:color w:val="333333"/>
          <w:sz w:val="19"/>
          <w:szCs w:val="19"/>
        </w:rPr>
        <w:t xml:space="preserve">Travel - This category includes </w:t>
      </w:r>
      <w:r w:rsidR="00FA0FDF">
        <w:rPr>
          <w:rFonts w:ascii="Verdana" w:eastAsia="Times New Roman" w:hAnsi="Verdana" w:cs="Times New Roman"/>
          <w:color w:val="333333"/>
          <w:sz w:val="19"/>
          <w:szCs w:val="19"/>
        </w:rPr>
        <w:t xml:space="preserve">staff </w:t>
      </w:r>
      <w:r w:rsidRPr="00AF1547">
        <w:rPr>
          <w:rFonts w:ascii="Verdana" w:eastAsia="Times New Roman" w:hAnsi="Verdana" w:cs="Times New Roman"/>
          <w:color w:val="333333"/>
          <w:sz w:val="19"/>
          <w:szCs w:val="19"/>
        </w:rPr>
        <w:t xml:space="preserve">mileage, parking, per diem, meals, lodging and other associated travel items. </w:t>
      </w:r>
      <w:r w:rsidR="00FA0FDF">
        <w:rPr>
          <w:rFonts w:ascii="Verdana" w:eastAsia="Times New Roman" w:hAnsi="Verdana" w:cs="Times New Roman"/>
          <w:color w:val="333333"/>
          <w:sz w:val="19"/>
          <w:szCs w:val="19"/>
        </w:rPr>
        <w:t xml:space="preserve"> </w:t>
      </w:r>
      <w:r w:rsidR="00FA0FDF" w:rsidRPr="00BF1173">
        <w:rPr>
          <w:rFonts w:ascii="Verdana" w:eastAsia="Times New Roman" w:hAnsi="Verdana" w:cs="Times New Roman"/>
          <w:color w:val="333333"/>
          <w:sz w:val="19"/>
          <w:szCs w:val="19"/>
          <w:u w:val="single"/>
        </w:rPr>
        <w:t xml:space="preserve">NOTE:  </w:t>
      </w:r>
      <w:r w:rsidR="00FA0FDF">
        <w:rPr>
          <w:rFonts w:ascii="Verdana" w:eastAsia="Times New Roman" w:hAnsi="Verdana" w:cs="Times New Roman"/>
          <w:color w:val="333333"/>
          <w:sz w:val="19"/>
          <w:szCs w:val="19"/>
          <w:u w:val="single"/>
        </w:rPr>
        <w:t>This category is not to include costs associated with BBO client transportation.</w:t>
      </w:r>
    </w:p>
    <w:p w:rsidR="00AF1547" w:rsidRPr="00BF1173" w:rsidRDefault="00AF1547" w:rsidP="00AF1547">
      <w:pPr>
        <w:numPr>
          <w:ilvl w:val="0"/>
          <w:numId w:val="1"/>
        </w:numPr>
        <w:spacing w:before="120" w:after="120"/>
        <w:ind w:left="2"/>
        <w:rPr>
          <w:rFonts w:ascii="Verdana" w:eastAsia="Times New Roman" w:hAnsi="Verdana" w:cs="Times New Roman"/>
          <w:color w:val="333333"/>
          <w:sz w:val="19"/>
          <w:szCs w:val="19"/>
          <w:u w:val="single"/>
        </w:rPr>
      </w:pPr>
      <w:r w:rsidRPr="00AF1547">
        <w:rPr>
          <w:rFonts w:ascii="Verdana" w:eastAsia="Times New Roman" w:hAnsi="Verdana" w:cs="Times New Roman"/>
          <w:color w:val="333333"/>
          <w:sz w:val="19"/>
          <w:szCs w:val="19"/>
        </w:rPr>
        <w:t xml:space="preserve">Supplies - This category includes such items as office supplies, medical supplies, educational and instructional material and supplies, cleaning supplies, equipment items costing less than $100 each, printing. </w:t>
      </w:r>
      <w:r w:rsidR="00D44BF2">
        <w:rPr>
          <w:rFonts w:ascii="Verdana" w:eastAsia="Times New Roman" w:hAnsi="Verdana" w:cs="Times New Roman"/>
          <w:color w:val="333333"/>
          <w:sz w:val="19"/>
          <w:szCs w:val="19"/>
        </w:rPr>
        <w:t xml:space="preserve"> </w:t>
      </w:r>
      <w:r w:rsidR="00D44BF2" w:rsidRPr="00BF1173">
        <w:rPr>
          <w:rFonts w:ascii="Verdana" w:eastAsia="Times New Roman" w:hAnsi="Verdana" w:cs="Times New Roman"/>
          <w:color w:val="333333"/>
          <w:sz w:val="19"/>
          <w:szCs w:val="19"/>
          <w:u w:val="single"/>
        </w:rPr>
        <w:t>NOTE:  This category also includes costs associated with BBO client incentive items.</w:t>
      </w:r>
    </w:p>
    <w:p w:rsidR="00AF1547" w:rsidRPr="00AF1547" w:rsidRDefault="00AF1547" w:rsidP="00AF1547">
      <w:pPr>
        <w:numPr>
          <w:ilvl w:val="0"/>
          <w:numId w:val="1"/>
        </w:numPr>
        <w:spacing w:before="120" w:after="120"/>
        <w:ind w:left="2"/>
        <w:rPr>
          <w:rFonts w:ascii="Verdana" w:eastAsia="Times New Roman" w:hAnsi="Verdana" w:cs="Times New Roman"/>
          <w:color w:val="333333"/>
          <w:sz w:val="19"/>
          <w:szCs w:val="19"/>
        </w:rPr>
      </w:pPr>
      <w:r w:rsidRPr="00AF1547">
        <w:rPr>
          <w:rFonts w:ascii="Verdana" w:eastAsia="Times New Roman" w:hAnsi="Verdana" w:cs="Times New Roman"/>
          <w:color w:val="333333"/>
          <w:sz w:val="19"/>
          <w:szCs w:val="19"/>
        </w:rPr>
        <w:t xml:space="preserve">Equipment - Equipment costing $100 or over per item. Prior approval is necessary for equipment items costing $500 or above </w:t>
      </w:r>
      <w:r w:rsidR="00D44BF2">
        <w:rPr>
          <w:rFonts w:ascii="Verdana" w:eastAsia="Times New Roman" w:hAnsi="Verdana" w:cs="Times New Roman"/>
          <w:color w:val="333333"/>
          <w:sz w:val="19"/>
          <w:szCs w:val="19"/>
        </w:rPr>
        <w:t xml:space="preserve">per unit </w:t>
      </w:r>
      <w:r w:rsidRPr="00AF1547">
        <w:rPr>
          <w:rFonts w:ascii="Verdana" w:eastAsia="Times New Roman" w:hAnsi="Verdana" w:cs="Times New Roman"/>
          <w:color w:val="333333"/>
          <w:sz w:val="19"/>
          <w:szCs w:val="19"/>
        </w:rPr>
        <w:t xml:space="preserve">and having a useful life of more than one year (written approval must be given by Department program staff). </w:t>
      </w:r>
    </w:p>
    <w:p w:rsidR="00FD29D3" w:rsidRPr="009643EA" w:rsidRDefault="00AF1547" w:rsidP="00FD29D3">
      <w:pPr>
        <w:numPr>
          <w:ilvl w:val="0"/>
          <w:numId w:val="1"/>
        </w:numPr>
        <w:spacing w:before="120" w:after="120"/>
        <w:ind w:left="2"/>
        <w:rPr>
          <w:rFonts w:ascii="Verdana" w:eastAsia="Times New Roman" w:hAnsi="Verdana" w:cs="Times New Roman"/>
          <w:color w:val="333333"/>
          <w:sz w:val="19"/>
          <w:szCs w:val="19"/>
        </w:rPr>
      </w:pPr>
      <w:r w:rsidRPr="009643EA">
        <w:rPr>
          <w:rFonts w:ascii="Verdana" w:eastAsia="Times New Roman" w:hAnsi="Verdana" w:cs="Times New Roman"/>
          <w:color w:val="333333"/>
          <w:sz w:val="19"/>
          <w:szCs w:val="19"/>
        </w:rPr>
        <w:t>Components </w:t>
      </w:r>
      <w:r w:rsidR="00FD29D3" w:rsidRPr="009643EA">
        <w:rPr>
          <w:rFonts w:ascii="Verdana" w:eastAsia="Times New Roman" w:hAnsi="Verdana" w:cs="Times New Roman"/>
          <w:color w:val="333333"/>
          <w:sz w:val="19"/>
          <w:szCs w:val="19"/>
        </w:rPr>
        <w:t xml:space="preserve">–The components under </w:t>
      </w:r>
      <w:r w:rsidR="009643EA">
        <w:rPr>
          <w:rFonts w:ascii="Verdana" w:eastAsia="Times New Roman" w:hAnsi="Verdana" w:cs="Times New Roman"/>
          <w:color w:val="333333"/>
          <w:sz w:val="19"/>
          <w:szCs w:val="19"/>
        </w:rPr>
        <w:t xml:space="preserve">BBO </w:t>
      </w:r>
      <w:r w:rsidR="00FD29D3" w:rsidRPr="009643EA">
        <w:rPr>
          <w:rFonts w:ascii="Verdana" w:eastAsia="Times New Roman" w:hAnsi="Verdana" w:cs="Times New Roman"/>
          <w:color w:val="333333"/>
          <w:sz w:val="19"/>
          <w:szCs w:val="19"/>
        </w:rPr>
        <w:t>include:</w:t>
      </w:r>
    </w:p>
    <w:p w:rsidR="00FD29D3" w:rsidRDefault="00FD29D3" w:rsidP="00FD29D3">
      <w:pPr>
        <w:spacing w:before="120" w:after="120"/>
        <w:rPr>
          <w:rFonts w:ascii="Verdana" w:eastAsia="Times New Roman" w:hAnsi="Verdana" w:cs="Times New Roman"/>
          <w:color w:val="333333"/>
          <w:sz w:val="19"/>
          <w:szCs w:val="19"/>
        </w:rPr>
      </w:pPr>
      <w:r w:rsidRPr="009643EA">
        <w:rPr>
          <w:rFonts w:ascii="Verdana" w:eastAsia="Times New Roman" w:hAnsi="Verdana" w:cs="Times New Roman"/>
          <w:color w:val="333333"/>
          <w:sz w:val="19"/>
          <w:szCs w:val="19"/>
          <w:u w:val="single"/>
        </w:rPr>
        <w:t>S</w:t>
      </w:r>
      <w:r w:rsidRPr="00DC2E95">
        <w:rPr>
          <w:rFonts w:ascii="Verdana" w:eastAsia="Times New Roman" w:hAnsi="Verdana" w:cs="Times New Roman"/>
          <w:color w:val="333333"/>
          <w:sz w:val="19"/>
          <w:szCs w:val="19"/>
          <w:u w:val="single"/>
        </w:rPr>
        <w:t xml:space="preserve">ervices </w:t>
      </w:r>
      <w:r>
        <w:rPr>
          <w:rFonts w:ascii="Verdana" w:eastAsia="Times New Roman" w:hAnsi="Verdana" w:cs="Times New Roman"/>
          <w:color w:val="333333"/>
          <w:sz w:val="19"/>
          <w:szCs w:val="19"/>
        </w:rPr>
        <w:t xml:space="preserve">– all costs for </w:t>
      </w:r>
      <w:r w:rsidR="00230DAC">
        <w:rPr>
          <w:rFonts w:ascii="Verdana" w:eastAsia="Times New Roman" w:hAnsi="Verdana" w:cs="Times New Roman"/>
          <w:color w:val="333333"/>
          <w:sz w:val="19"/>
          <w:szCs w:val="19"/>
        </w:rPr>
        <w:t xml:space="preserve">delivery of </w:t>
      </w:r>
      <w:r w:rsidR="009643EA">
        <w:rPr>
          <w:rFonts w:ascii="Verdana" w:eastAsia="Times New Roman" w:hAnsi="Verdana" w:cs="Times New Roman"/>
          <w:color w:val="333333"/>
          <w:sz w:val="19"/>
          <w:szCs w:val="19"/>
        </w:rPr>
        <w:t xml:space="preserve">the program </w:t>
      </w:r>
      <w:r>
        <w:rPr>
          <w:rFonts w:ascii="Verdana" w:eastAsia="Times New Roman" w:hAnsi="Verdana" w:cs="Times New Roman"/>
          <w:color w:val="333333"/>
          <w:sz w:val="19"/>
          <w:szCs w:val="19"/>
        </w:rPr>
        <w:t>exclusive of outreach and client transportation</w:t>
      </w:r>
    </w:p>
    <w:p w:rsidR="00FD29D3" w:rsidRDefault="00FD29D3" w:rsidP="00FD29D3">
      <w:pPr>
        <w:spacing w:before="120" w:after="120"/>
        <w:rPr>
          <w:rFonts w:ascii="Verdana" w:eastAsia="Times New Roman" w:hAnsi="Verdana" w:cs="Times New Roman"/>
          <w:color w:val="333333"/>
          <w:sz w:val="19"/>
          <w:szCs w:val="19"/>
        </w:rPr>
      </w:pPr>
      <w:r w:rsidRPr="00DC2E95">
        <w:rPr>
          <w:rFonts w:ascii="Verdana" w:eastAsia="Times New Roman" w:hAnsi="Verdana" w:cs="Times New Roman"/>
          <w:color w:val="333333"/>
          <w:sz w:val="19"/>
          <w:szCs w:val="19"/>
          <w:u w:val="single"/>
        </w:rPr>
        <w:t>Outreach</w:t>
      </w:r>
      <w:r>
        <w:rPr>
          <w:rFonts w:ascii="Verdana" w:eastAsia="Times New Roman" w:hAnsi="Verdana" w:cs="Times New Roman"/>
          <w:color w:val="333333"/>
          <w:sz w:val="19"/>
          <w:szCs w:val="19"/>
        </w:rPr>
        <w:t xml:space="preserve"> – refer to the</w:t>
      </w:r>
      <w:r w:rsidR="0008509D">
        <w:rPr>
          <w:rFonts w:ascii="Verdana" w:eastAsia="Times New Roman" w:hAnsi="Verdana" w:cs="Times New Roman"/>
          <w:color w:val="333333"/>
          <w:sz w:val="19"/>
          <w:szCs w:val="19"/>
        </w:rPr>
        <w:t xml:space="preserve"> current</w:t>
      </w:r>
      <w:r>
        <w:rPr>
          <w:rFonts w:ascii="Verdana" w:eastAsia="Times New Roman" w:hAnsi="Verdana" w:cs="Times New Roman"/>
          <w:color w:val="333333"/>
          <w:sz w:val="19"/>
          <w:szCs w:val="19"/>
        </w:rPr>
        <w:t xml:space="preserve"> </w:t>
      </w:r>
      <w:r w:rsidR="009643EA">
        <w:rPr>
          <w:rFonts w:ascii="Verdana" w:eastAsia="Times New Roman" w:hAnsi="Verdana" w:cs="Times New Roman"/>
          <w:color w:val="333333"/>
          <w:sz w:val="19"/>
          <w:szCs w:val="19"/>
        </w:rPr>
        <w:t xml:space="preserve">BBO </w:t>
      </w:r>
      <w:r>
        <w:rPr>
          <w:rFonts w:ascii="Verdana" w:eastAsia="Times New Roman" w:hAnsi="Verdana" w:cs="Times New Roman"/>
          <w:color w:val="333333"/>
          <w:sz w:val="19"/>
          <w:szCs w:val="19"/>
        </w:rPr>
        <w:t xml:space="preserve">Outreach Policy </w:t>
      </w:r>
      <w:r w:rsidR="0008509D">
        <w:rPr>
          <w:rFonts w:ascii="Verdana" w:eastAsia="Times New Roman" w:hAnsi="Verdana" w:cs="Times New Roman"/>
          <w:color w:val="333333"/>
          <w:sz w:val="19"/>
          <w:szCs w:val="19"/>
        </w:rPr>
        <w:t>as revised July 14, 2014 f</w:t>
      </w:r>
      <w:r>
        <w:rPr>
          <w:rFonts w:ascii="Verdana" w:eastAsia="Times New Roman" w:hAnsi="Verdana" w:cs="Times New Roman"/>
          <w:color w:val="333333"/>
          <w:sz w:val="19"/>
          <w:szCs w:val="19"/>
        </w:rPr>
        <w:t xml:space="preserve">or allowable </w:t>
      </w:r>
      <w:r w:rsidR="0008509D">
        <w:rPr>
          <w:rFonts w:ascii="Verdana" w:eastAsia="Times New Roman" w:hAnsi="Verdana" w:cs="Times New Roman"/>
          <w:color w:val="333333"/>
          <w:sz w:val="19"/>
          <w:szCs w:val="19"/>
        </w:rPr>
        <w:t>costs</w:t>
      </w:r>
      <w:r>
        <w:rPr>
          <w:rFonts w:ascii="Verdana" w:eastAsia="Times New Roman" w:hAnsi="Verdana" w:cs="Times New Roman"/>
          <w:color w:val="333333"/>
          <w:sz w:val="19"/>
          <w:szCs w:val="19"/>
        </w:rPr>
        <w:t xml:space="preserve"> associated with outreach</w:t>
      </w:r>
      <w:r w:rsidR="0008509D">
        <w:rPr>
          <w:rFonts w:ascii="Verdana" w:eastAsia="Times New Roman" w:hAnsi="Verdana" w:cs="Times New Roman"/>
          <w:color w:val="333333"/>
          <w:sz w:val="19"/>
          <w:szCs w:val="19"/>
        </w:rPr>
        <w:t xml:space="preserve"> activities</w:t>
      </w:r>
      <w:r>
        <w:rPr>
          <w:rFonts w:ascii="Verdana" w:eastAsia="Times New Roman" w:hAnsi="Verdana" w:cs="Times New Roman"/>
          <w:color w:val="333333"/>
          <w:sz w:val="19"/>
          <w:szCs w:val="19"/>
        </w:rPr>
        <w:t xml:space="preserve">.  Costs associated with conducting </w:t>
      </w:r>
      <w:r w:rsidR="004D37D6">
        <w:rPr>
          <w:rFonts w:ascii="Verdana" w:eastAsia="Times New Roman" w:hAnsi="Verdana" w:cs="Times New Roman"/>
          <w:color w:val="333333"/>
          <w:sz w:val="19"/>
          <w:szCs w:val="19"/>
        </w:rPr>
        <w:t xml:space="preserve">outreach </w:t>
      </w:r>
      <w:r>
        <w:rPr>
          <w:rFonts w:ascii="Verdana" w:eastAsia="Times New Roman" w:hAnsi="Verdana" w:cs="Times New Roman"/>
          <w:color w:val="333333"/>
          <w:sz w:val="19"/>
          <w:szCs w:val="19"/>
        </w:rPr>
        <w:t>activities are to be documented in this column, by appropriate category (refer to items 4 through 8 above</w:t>
      </w:r>
      <w:r w:rsidR="004D37D6">
        <w:rPr>
          <w:rFonts w:ascii="Verdana" w:eastAsia="Times New Roman" w:hAnsi="Verdana" w:cs="Times New Roman"/>
          <w:color w:val="333333"/>
          <w:sz w:val="19"/>
          <w:szCs w:val="19"/>
        </w:rPr>
        <w:t xml:space="preserve"> for appropriate categories of expense</w:t>
      </w:r>
      <w:r>
        <w:rPr>
          <w:rFonts w:ascii="Verdana" w:eastAsia="Times New Roman" w:hAnsi="Verdana" w:cs="Times New Roman"/>
          <w:color w:val="333333"/>
          <w:sz w:val="19"/>
          <w:szCs w:val="19"/>
        </w:rPr>
        <w:t>)</w:t>
      </w:r>
    </w:p>
    <w:p w:rsidR="00C27B04" w:rsidRPr="00C27B04" w:rsidRDefault="00C27B04" w:rsidP="00FD29D3">
      <w:pPr>
        <w:spacing w:before="120" w:after="120"/>
        <w:rPr>
          <w:rFonts w:ascii="Verdana" w:eastAsia="Times New Roman" w:hAnsi="Verdana" w:cs="Times New Roman"/>
          <w:color w:val="333333"/>
          <w:sz w:val="19"/>
          <w:szCs w:val="19"/>
        </w:rPr>
      </w:pPr>
      <w:r>
        <w:rPr>
          <w:rFonts w:ascii="Verdana" w:eastAsia="Times New Roman" w:hAnsi="Verdana" w:cs="Times New Roman"/>
          <w:b/>
          <w:color w:val="333333"/>
          <w:sz w:val="19"/>
          <w:szCs w:val="19"/>
        </w:rPr>
        <w:t xml:space="preserve">NOTE:  </w:t>
      </w:r>
      <w:r>
        <w:rPr>
          <w:rFonts w:ascii="Verdana" w:eastAsia="Times New Roman" w:hAnsi="Verdana" w:cs="Times New Roman"/>
          <w:color w:val="333333"/>
          <w:sz w:val="19"/>
          <w:szCs w:val="19"/>
        </w:rPr>
        <w:t xml:space="preserve">Conducting case finding from the list of clients downloaded via the Medicaid Match process </w:t>
      </w:r>
      <w:r>
        <w:rPr>
          <w:rFonts w:ascii="Verdana" w:eastAsia="Times New Roman" w:hAnsi="Verdana" w:cs="Times New Roman"/>
          <w:b/>
          <w:color w:val="333333"/>
          <w:sz w:val="19"/>
          <w:szCs w:val="19"/>
          <w:u w:val="single"/>
        </w:rPr>
        <w:t xml:space="preserve">is not </w:t>
      </w:r>
      <w:r>
        <w:rPr>
          <w:rFonts w:ascii="Verdana" w:eastAsia="Times New Roman" w:hAnsi="Verdana" w:cs="Times New Roman"/>
          <w:color w:val="333333"/>
          <w:sz w:val="19"/>
          <w:szCs w:val="19"/>
        </w:rPr>
        <w:t xml:space="preserve">an outreach activity.   Example:  agency has outreach workers or other administrative support personnel whose responsibility is to use the list to make telephone calls or </w:t>
      </w:r>
      <w:r>
        <w:rPr>
          <w:rFonts w:ascii="Verdana" w:eastAsia="Times New Roman" w:hAnsi="Verdana" w:cs="Times New Roman"/>
          <w:color w:val="333333"/>
          <w:sz w:val="19"/>
          <w:szCs w:val="19"/>
        </w:rPr>
        <w:lastRenderedPageBreak/>
        <w:t xml:space="preserve">other contacts to arrange for an appointment with the case manager.  </w:t>
      </w:r>
      <w:r w:rsidRPr="00C27B04">
        <w:rPr>
          <w:rFonts w:ascii="Verdana" w:eastAsia="Times New Roman" w:hAnsi="Verdana" w:cs="Times New Roman"/>
          <w:b/>
          <w:color w:val="333333"/>
          <w:sz w:val="19"/>
          <w:szCs w:val="19"/>
        </w:rPr>
        <w:t xml:space="preserve">Costs associated with this process are </w:t>
      </w:r>
      <w:r w:rsidR="00D44BF2">
        <w:rPr>
          <w:rFonts w:ascii="Verdana" w:eastAsia="Times New Roman" w:hAnsi="Verdana" w:cs="Times New Roman"/>
          <w:b/>
          <w:color w:val="333333"/>
          <w:sz w:val="19"/>
          <w:szCs w:val="19"/>
        </w:rPr>
        <w:t>included in the Personal Services/Fringe line</w:t>
      </w:r>
      <w:r w:rsidRPr="00C27B04">
        <w:rPr>
          <w:rFonts w:ascii="Verdana" w:eastAsia="Times New Roman" w:hAnsi="Verdana" w:cs="Times New Roman"/>
          <w:b/>
          <w:color w:val="333333"/>
          <w:sz w:val="19"/>
          <w:szCs w:val="19"/>
        </w:rPr>
        <w:t>.</w:t>
      </w:r>
      <w:r>
        <w:rPr>
          <w:rFonts w:ascii="Verdana" w:eastAsia="Times New Roman" w:hAnsi="Verdana" w:cs="Times New Roman"/>
          <w:color w:val="333333"/>
          <w:sz w:val="19"/>
          <w:szCs w:val="19"/>
        </w:rPr>
        <w:t xml:space="preserve">  </w:t>
      </w:r>
    </w:p>
    <w:p w:rsidR="00230DAC" w:rsidRDefault="00230DAC" w:rsidP="00FD29D3">
      <w:pPr>
        <w:spacing w:before="120" w:after="120"/>
        <w:rPr>
          <w:rFonts w:ascii="Verdana" w:eastAsia="Times New Roman" w:hAnsi="Verdana" w:cs="Times New Roman"/>
          <w:color w:val="333333"/>
          <w:sz w:val="19"/>
          <w:szCs w:val="19"/>
        </w:rPr>
      </w:pPr>
      <w:r w:rsidRPr="00DC2E95">
        <w:rPr>
          <w:rFonts w:ascii="Verdana" w:eastAsia="Times New Roman" w:hAnsi="Verdana" w:cs="Times New Roman"/>
          <w:color w:val="333333"/>
          <w:sz w:val="19"/>
          <w:szCs w:val="19"/>
          <w:u w:val="single"/>
        </w:rPr>
        <w:t>Client Transportation</w:t>
      </w:r>
      <w:r>
        <w:rPr>
          <w:rFonts w:ascii="Verdana" w:eastAsia="Times New Roman" w:hAnsi="Verdana" w:cs="Times New Roman"/>
          <w:color w:val="333333"/>
          <w:sz w:val="19"/>
          <w:szCs w:val="19"/>
        </w:rPr>
        <w:t xml:space="preserve"> – all costs for </w:t>
      </w:r>
      <w:r w:rsidR="009643EA">
        <w:rPr>
          <w:rFonts w:ascii="Verdana" w:eastAsia="Times New Roman" w:hAnsi="Verdana" w:cs="Times New Roman"/>
          <w:color w:val="333333"/>
          <w:sz w:val="19"/>
          <w:szCs w:val="19"/>
        </w:rPr>
        <w:t xml:space="preserve">BBO </w:t>
      </w:r>
      <w:r>
        <w:rPr>
          <w:rFonts w:ascii="Verdana" w:eastAsia="Times New Roman" w:hAnsi="Verdana" w:cs="Times New Roman"/>
          <w:color w:val="333333"/>
          <w:sz w:val="19"/>
          <w:szCs w:val="19"/>
        </w:rPr>
        <w:t xml:space="preserve">specific to the provision of client-related transportation, including but not limited to bus tokens/tickets, cab fair, train fair, use of an agency-owned vehicle, etc.  </w:t>
      </w:r>
    </w:p>
    <w:p w:rsidR="00AF1547" w:rsidRDefault="00230DAC" w:rsidP="00AF1547">
      <w:pPr>
        <w:spacing w:before="120" w:after="120"/>
        <w:rPr>
          <w:rFonts w:ascii="Verdana" w:eastAsia="Times New Roman" w:hAnsi="Verdana" w:cs="Times New Roman"/>
          <w:b/>
          <w:color w:val="333333"/>
          <w:sz w:val="19"/>
          <w:szCs w:val="19"/>
        </w:rPr>
      </w:pPr>
      <w:r>
        <w:rPr>
          <w:rFonts w:ascii="Verdana" w:eastAsia="Times New Roman" w:hAnsi="Verdana" w:cs="Times New Roman"/>
          <w:color w:val="333333"/>
          <w:sz w:val="19"/>
          <w:szCs w:val="19"/>
        </w:rPr>
        <w:t>1</w:t>
      </w:r>
      <w:r w:rsidR="008A71E8">
        <w:rPr>
          <w:rFonts w:ascii="Verdana" w:eastAsia="Times New Roman" w:hAnsi="Verdana" w:cs="Times New Roman"/>
          <w:color w:val="333333"/>
          <w:sz w:val="19"/>
          <w:szCs w:val="19"/>
        </w:rPr>
        <w:t>2</w:t>
      </w:r>
      <w:r>
        <w:rPr>
          <w:rFonts w:ascii="Verdana" w:eastAsia="Times New Roman" w:hAnsi="Verdana" w:cs="Times New Roman"/>
          <w:color w:val="333333"/>
          <w:sz w:val="19"/>
          <w:szCs w:val="19"/>
        </w:rPr>
        <w:t xml:space="preserve">.  </w:t>
      </w:r>
      <w:r w:rsidR="00AF1547" w:rsidRPr="00AF1547">
        <w:rPr>
          <w:rFonts w:ascii="Verdana" w:eastAsia="Times New Roman" w:hAnsi="Verdana" w:cs="Times New Roman"/>
          <w:color w:val="333333"/>
          <w:sz w:val="19"/>
          <w:szCs w:val="19"/>
        </w:rPr>
        <w:t xml:space="preserve">Authorized Agency Official - This form must be signed and dated by an authorized official of the provider agency. </w:t>
      </w:r>
      <w:r w:rsidR="00AF1547" w:rsidRPr="008A71E8">
        <w:rPr>
          <w:rFonts w:ascii="Verdana" w:eastAsia="Times New Roman" w:hAnsi="Verdana" w:cs="Times New Roman"/>
          <w:b/>
          <w:color w:val="333333"/>
          <w:sz w:val="19"/>
          <w:szCs w:val="19"/>
        </w:rPr>
        <w:t>(Mandatory)</w:t>
      </w:r>
    </w:p>
    <w:p w:rsidR="00AD4485" w:rsidRDefault="008A71E8" w:rsidP="00AF1547">
      <w:pPr>
        <w:spacing w:before="120" w:after="120"/>
        <w:rPr>
          <w:rFonts w:ascii="Verdana" w:eastAsia="Times New Roman" w:hAnsi="Verdana" w:cs="Times New Roman"/>
          <w:b/>
          <w:color w:val="333333"/>
          <w:sz w:val="19"/>
          <w:szCs w:val="19"/>
          <w:u w:val="single"/>
        </w:rPr>
      </w:pPr>
      <w:r>
        <w:rPr>
          <w:rFonts w:ascii="Verdana" w:eastAsia="Times New Roman" w:hAnsi="Verdana" w:cs="Times New Roman"/>
          <w:color w:val="333333"/>
          <w:sz w:val="19"/>
          <w:szCs w:val="19"/>
        </w:rPr>
        <w:t xml:space="preserve">13.  </w:t>
      </w:r>
      <w:r w:rsidRPr="008A71E8">
        <w:rPr>
          <w:rFonts w:ascii="Verdana" w:eastAsia="Times New Roman" w:hAnsi="Verdana" w:cs="Times New Roman"/>
          <w:b/>
          <w:color w:val="333333"/>
          <w:sz w:val="19"/>
          <w:szCs w:val="19"/>
          <w:u w:val="single"/>
        </w:rPr>
        <w:t>NEW in FY17</w:t>
      </w:r>
      <w:r w:rsidRPr="008A71E8">
        <w:rPr>
          <w:rFonts w:ascii="Verdana" w:eastAsia="Times New Roman" w:hAnsi="Verdana" w:cs="Times New Roman"/>
          <w:color w:val="333333"/>
          <w:sz w:val="19"/>
          <w:szCs w:val="19"/>
          <w:u w:val="single"/>
        </w:rPr>
        <w:t xml:space="preserve"> – </w:t>
      </w:r>
      <w:r w:rsidRPr="008A71E8">
        <w:rPr>
          <w:rFonts w:ascii="Verdana" w:eastAsia="Times New Roman" w:hAnsi="Verdana" w:cs="Times New Roman"/>
          <w:b/>
          <w:color w:val="333333"/>
          <w:sz w:val="19"/>
          <w:szCs w:val="19"/>
          <w:u w:val="single"/>
        </w:rPr>
        <w:t>Caseload Certification Checkbox</w:t>
      </w:r>
      <w:r w:rsidRPr="008A71E8">
        <w:rPr>
          <w:rFonts w:ascii="Verdana" w:eastAsia="Times New Roman" w:hAnsi="Verdana" w:cs="Times New Roman"/>
          <w:color w:val="333333"/>
          <w:sz w:val="19"/>
          <w:szCs w:val="19"/>
          <w:u w:val="single"/>
        </w:rPr>
        <w:t xml:space="preserve"> – BBO agencies are required to certify that the number of active BBO cases obtained from the Cornerstone system (HSPR1023 Caseload Composition Report) for the EDF reporting month is accurate and correct.  Authorized Agency Official signature of the person verifying the accuracy of the month’s active cases is required.</w:t>
      </w:r>
    </w:p>
    <w:p w:rsidR="00DF368A" w:rsidRPr="00DF368A" w:rsidRDefault="00DF368A" w:rsidP="00AF1547">
      <w:pPr>
        <w:spacing w:before="120" w:after="120"/>
        <w:rPr>
          <w:rFonts w:ascii="Verdana" w:eastAsia="Times New Roman" w:hAnsi="Verdana" w:cs="Times New Roman"/>
          <w:color w:val="333333"/>
          <w:sz w:val="19"/>
          <w:szCs w:val="19"/>
          <w:u w:val="single"/>
        </w:rPr>
      </w:pPr>
      <w:r>
        <w:rPr>
          <w:rFonts w:ascii="Verdana" w:eastAsia="Times New Roman" w:hAnsi="Verdana" w:cs="Times New Roman"/>
          <w:b/>
          <w:color w:val="333333"/>
          <w:sz w:val="19"/>
          <w:szCs w:val="19"/>
          <w:u w:val="single"/>
        </w:rPr>
        <w:t xml:space="preserve">Submission of EDF: </w:t>
      </w:r>
      <w:r>
        <w:rPr>
          <w:rFonts w:ascii="Verdana" w:eastAsia="Times New Roman" w:hAnsi="Verdana" w:cs="Times New Roman"/>
          <w:color w:val="333333"/>
          <w:sz w:val="19"/>
          <w:szCs w:val="19"/>
        </w:rPr>
        <w:t xml:space="preserve"> EDF’s are due to DHS by the 15</w:t>
      </w:r>
      <w:r w:rsidRPr="00DF368A">
        <w:rPr>
          <w:rFonts w:ascii="Verdana" w:eastAsia="Times New Roman" w:hAnsi="Verdana" w:cs="Times New Roman"/>
          <w:color w:val="333333"/>
          <w:sz w:val="19"/>
          <w:szCs w:val="19"/>
          <w:vertAlign w:val="superscript"/>
        </w:rPr>
        <w:t>th</w:t>
      </w:r>
      <w:r>
        <w:rPr>
          <w:rFonts w:ascii="Verdana" w:eastAsia="Times New Roman" w:hAnsi="Verdana" w:cs="Times New Roman"/>
          <w:color w:val="333333"/>
          <w:sz w:val="19"/>
          <w:szCs w:val="19"/>
        </w:rPr>
        <w:t xml:space="preserve"> of each month, for costs incurred the prior month.  One copy of the EDF is submitted to the </w:t>
      </w:r>
      <w:r w:rsidR="009643EA">
        <w:rPr>
          <w:rFonts w:ascii="Verdana" w:eastAsia="Times New Roman" w:hAnsi="Verdana" w:cs="Times New Roman"/>
          <w:color w:val="333333"/>
          <w:sz w:val="19"/>
          <w:szCs w:val="19"/>
        </w:rPr>
        <w:t xml:space="preserve">contact person specified in Exhibit C of the </w:t>
      </w:r>
      <w:r w:rsidR="007823DE">
        <w:rPr>
          <w:rFonts w:ascii="Verdana" w:eastAsia="Times New Roman" w:hAnsi="Verdana" w:cs="Times New Roman"/>
          <w:color w:val="333333"/>
          <w:sz w:val="19"/>
          <w:szCs w:val="19"/>
        </w:rPr>
        <w:t xml:space="preserve">BBO contract.  </w:t>
      </w:r>
      <w:r>
        <w:rPr>
          <w:rFonts w:ascii="Verdana" w:eastAsia="Times New Roman" w:hAnsi="Verdana" w:cs="Times New Roman"/>
          <w:color w:val="333333"/>
          <w:sz w:val="19"/>
          <w:szCs w:val="19"/>
        </w:rPr>
        <w:t xml:space="preserve"> </w:t>
      </w:r>
      <w:r w:rsidR="00D44BF2">
        <w:rPr>
          <w:rFonts w:ascii="Verdana" w:eastAsia="Times New Roman" w:hAnsi="Verdana" w:cs="Times New Roman"/>
          <w:color w:val="333333"/>
          <w:sz w:val="19"/>
          <w:szCs w:val="19"/>
          <w:u w:val="single"/>
        </w:rPr>
        <w:t xml:space="preserve">Please also send a </w:t>
      </w:r>
      <w:r>
        <w:rPr>
          <w:rFonts w:ascii="Verdana" w:eastAsia="Times New Roman" w:hAnsi="Verdana" w:cs="Times New Roman"/>
          <w:color w:val="333333"/>
          <w:sz w:val="19"/>
          <w:szCs w:val="19"/>
          <w:u w:val="single"/>
        </w:rPr>
        <w:t xml:space="preserve">copy of the EDF </w:t>
      </w:r>
      <w:r w:rsidR="00D44BF2">
        <w:rPr>
          <w:rFonts w:ascii="Verdana" w:eastAsia="Times New Roman" w:hAnsi="Verdana" w:cs="Times New Roman"/>
          <w:color w:val="333333"/>
          <w:sz w:val="19"/>
          <w:szCs w:val="19"/>
          <w:u w:val="single"/>
        </w:rPr>
        <w:t xml:space="preserve">each month to your </w:t>
      </w:r>
      <w:r>
        <w:rPr>
          <w:rFonts w:ascii="Verdana" w:eastAsia="Times New Roman" w:hAnsi="Verdana" w:cs="Times New Roman"/>
          <w:color w:val="333333"/>
          <w:sz w:val="19"/>
          <w:szCs w:val="19"/>
          <w:u w:val="single"/>
        </w:rPr>
        <w:t xml:space="preserve">assigned Community Support Services Consultant.  </w:t>
      </w:r>
    </w:p>
    <w:p w:rsidR="00AF1547" w:rsidRPr="00AF1547" w:rsidRDefault="00AF1547" w:rsidP="00AF1547">
      <w:pPr>
        <w:pBdr>
          <w:top w:val="single" w:sz="6" w:space="1" w:color="auto"/>
        </w:pBdr>
        <w:jc w:val="center"/>
        <w:rPr>
          <w:rFonts w:ascii="Arial" w:eastAsia="Times New Roman" w:hAnsi="Arial" w:cs="Arial"/>
          <w:vanish/>
          <w:sz w:val="16"/>
          <w:szCs w:val="16"/>
        </w:rPr>
      </w:pPr>
      <w:r w:rsidRPr="00AF1547">
        <w:rPr>
          <w:rFonts w:ascii="Arial" w:eastAsia="Times New Roman" w:hAnsi="Arial" w:cs="Arial"/>
          <w:vanish/>
          <w:sz w:val="16"/>
          <w:szCs w:val="16"/>
        </w:rPr>
        <w:t>Bottom of Form</w:t>
      </w:r>
    </w:p>
    <w:p w:rsidR="007E4893" w:rsidRDefault="007E4893"/>
    <w:sectPr w:rsidR="007E4893" w:rsidSect="007E489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73" w:rsidRDefault="00B17F73" w:rsidP="00B17F73">
      <w:r>
        <w:separator/>
      </w:r>
    </w:p>
  </w:endnote>
  <w:endnote w:type="continuationSeparator" w:id="0">
    <w:p w:rsidR="00B17F73" w:rsidRDefault="00B17F73" w:rsidP="00B1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73" w:rsidRDefault="00B17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73" w:rsidRPr="00B17F73" w:rsidRDefault="00BC6E22">
    <w:pPr>
      <w:pStyle w:val="Footer"/>
      <w:rPr>
        <w:sz w:val="16"/>
        <w:szCs w:val="16"/>
      </w:rPr>
    </w:pPr>
    <w:r>
      <w:rPr>
        <w:sz w:val="16"/>
        <w:szCs w:val="16"/>
      </w:rPr>
      <w:t xml:space="preserve">DHS </w:t>
    </w:r>
    <w:r w:rsidR="00B17F73">
      <w:rPr>
        <w:sz w:val="16"/>
        <w:szCs w:val="16"/>
      </w:rPr>
      <w:t xml:space="preserve">FCS EDF Instructions </w:t>
    </w:r>
    <w:r>
      <w:rPr>
        <w:sz w:val="16"/>
        <w:szCs w:val="16"/>
      </w:rPr>
      <w:t>BBO 6.20.16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73" w:rsidRDefault="00B17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73" w:rsidRDefault="00B17F73" w:rsidP="00B17F73">
      <w:r>
        <w:separator/>
      </w:r>
    </w:p>
  </w:footnote>
  <w:footnote w:type="continuationSeparator" w:id="0">
    <w:p w:rsidR="00B17F73" w:rsidRDefault="00B17F73" w:rsidP="00B17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73" w:rsidRDefault="00B17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73" w:rsidRDefault="00B17F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73" w:rsidRDefault="00B17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F18C2"/>
    <w:multiLevelType w:val="multilevel"/>
    <w:tmpl w:val="256CF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47"/>
    <w:rsid w:val="0008509D"/>
    <w:rsid w:val="00090632"/>
    <w:rsid w:val="00230DAC"/>
    <w:rsid w:val="002C11FD"/>
    <w:rsid w:val="003068CF"/>
    <w:rsid w:val="003F5676"/>
    <w:rsid w:val="00490647"/>
    <w:rsid w:val="004D37D6"/>
    <w:rsid w:val="006428BC"/>
    <w:rsid w:val="006A4B6E"/>
    <w:rsid w:val="006C24A6"/>
    <w:rsid w:val="007823DE"/>
    <w:rsid w:val="007E4893"/>
    <w:rsid w:val="008A71E8"/>
    <w:rsid w:val="009643EA"/>
    <w:rsid w:val="00A94236"/>
    <w:rsid w:val="00AD4485"/>
    <w:rsid w:val="00AF1547"/>
    <w:rsid w:val="00B17F73"/>
    <w:rsid w:val="00B40EA9"/>
    <w:rsid w:val="00BC6E22"/>
    <w:rsid w:val="00BF1173"/>
    <w:rsid w:val="00C27B04"/>
    <w:rsid w:val="00D44BF2"/>
    <w:rsid w:val="00D55D83"/>
    <w:rsid w:val="00D626A9"/>
    <w:rsid w:val="00DC2E95"/>
    <w:rsid w:val="00DF368A"/>
    <w:rsid w:val="00E025CA"/>
    <w:rsid w:val="00E0411C"/>
    <w:rsid w:val="00FA0FDF"/>
    <w:rsid w:val="00FD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547"/>
    <w:rPr>
      <w:color w:val="003366"/>
      <w:u w:val="single"/>
    </w:rPr>
  </w:style>
  <w:style w:type="paragraph" w:styleId="NormalWeb">
    <w:name w:val="Normal (Web)"/>
    <w:basedOn w:val="Normal"/>
    <w:uiPriority w:val="99"/>
    <w:semiHidden/>
    <w:unhideWhenUsed/>
    <w:rsid w:val="00AF1547"/>
    <w:pPr>
      <w:spacing w:before="120" w:after="120"/>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F154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154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154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154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F1547"/>
    <w:rPr>
      <w:rFonts w:ascii="Tahoma" w:hAnsi="Tahoma" w:cs="Tahoma"/>
      <w:sz w:val="16"/>
      <w:szCs w:val="16"/>
    </w:rPr>
  </w:style>
  <w:style w:type="character" w:customStyle="1" w:styleId="BalloonTextChar">
    <w:name w:val="Balloon Text Char"/>
    <w:basedOn w:val="DefaultParagraphFont"/>
    <w:link w:val="BalloonText"/>
    <w:uiPriority w:val="99"/>
    <w:semiHidden/>
    <w:rsid w:val="00AF1547"/>
    <w:rPr>
      <w:rFonts w:ascii="Tahoma" w:hAnsi="Tahoma" w:cs="Tahoma"/>
      <w:sz w:val="16"/>
      <w:szCs w:val="16"/>
    </w:rPr>
  </w:style>
  <w:style w:type="paragraph" w:styleId="Header">
    <w:name w:val="header"/>
    <w:basedOn w:val="Normal"/>
    <w:link w:val="HeaderChar"/>
    <w:uiPriority w:val="99"/>
    <w:semiHidden/>
    <w:unhideWhenUsed/>
    <w:rsid w:val="00B17F73"/>
    <w:pPr>
      <w:tabs>
        <w:tab w:val="center" w:pos="4680"/>
        <w:tab w:val="right" w:pos="9360"/>
      </w:tabs>
    </w:pPr>
  </w:style>
  <w:style w:type="character" w:customStyle="1" w:styleId="HeaderChar">
    <w:name w:val="Header Char"/>
    <w:basedOn w:val="DefaultParagraphFont"/>
    <w:link w:val="Header"/>
    <w:uiPriority w:val="99"/>
    <w:semiHidden/>
    <w:rsid w:val="00B17F73"/>
  </w:style>
  <w:style w:type="paragraph" w:styleId="Footer">
    <w:name w:val="footer"/>
    <w:basedOn w:val="Normal"/>
    <w:link w:val="FooterChar"/>
    <w:uiPriority w:val="99"/>
    <w:semiHidden/>
    <w:unhideWhenUsed/>
    <w:rsid w:val="00B17F73"/>
    <w:pPr>
      <w:tabs>
        <w:tab w:val="center" w:pos="4680"/>
        <w:tab w:val="right" w:pos="9360"/>
      </w:tabs>
    </w:pPr>
  </w:style>
  <w:style w:type="character" w:customStyle="1" w:styleId="FooterChar">
    <w:name w:val="Footer Char"/>
    <w:basedOn w:val="DefaultParagraphFont"/>
    <w:link w:val="Footer"/>
    <w:uiPriority w:val="99"/>
    <w:semiHidden/>
    <w:rsid w:val="00B17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547"/>
    <w:rPr>
      <w:color w:val="003366"/>
      <w:u w:val="single"/>
    </w:rPr>
  </w:style>
  <w:style w:type="paragraph" w:styleId="NormalWeb">
    <w:name w:val="Normal (Web)"/>
    <w:basedOn w:val="Normal"/>
    <w:uiPriority w:val="99"/>
    <w:semiHidden/>
    <w:unhideWhenUsed/>
    <w:rsid w:val="00AF1547"/>
    <w:pPr>
      <w:spacing w:before="120" w:after="120"/>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F154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154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154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154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F1547"/>
    <w:rPr>
      <w:rFonts w:ascii="Tahoma" w:hAnsi="Tahoma" w:cs="Tahoma"/>
      <w:sz w:val="16"/>
      <w:szCs w:val="16"/>
    </w:rPr>
  </w:style>
  <w:style w:type="character" w:customStyle="1" w:styleId="BalloonTextChar">
    <w:name w:val="Balloon Text Char"/>
    <w:basedOn w:val="DefaultParagraphFont"/>
    <w:link w:val="BalloonText"/>
    <w:uiPriority w:val="99"/>
    <w:semiHidden/>
    <w:rsid w:val="00AF1547"/>
    <w:rPr>
      <w:rFonts w:ascii="Tahoma" w:hAnsi="Tahoma" w:cs="Tahoma"/>
      <w:sz w:val="16"/>
      <w:szCs w:val="16"/>
    </w:rPr>
  </w:style>
  <w:style w:type="paragraph" w:styleId="Header">
    <w:name w:val="header"/>
    <w:basedOn w:val="Normal"/>
    <w:link w:val="HeaderChar"/>
    <w:uiPriority w:val="99"/>
    <w:semiHidden/>
    <w:unhideWhenUsed/>
    <w:rsid w:val="00B17F73"/>
    <w:pPr>
      <w:tabs>
        <w:tab w:val="center" w:pos="4680"/>
        <w:tab w:val="right" w:pos="9360"/>
      </w:tabs>
    </w:pPr>
  </w:style>
  <w:style w:type="character" w:customStyle="1" w:styleId="HeaderChar">
    <w:name w:val="Header Char"/>
    <w:basedOn w:val="DefaultParagraphFont"/>
    <w:link w:val="Header"/>
    <w:uiPriority w:val="99"/>
    <w:semiHidden/>
    <w:rsid w:val="00B17F73"/>
  </w:style>
  <w:style w:type="paragraph" w:styleId="Footer">
    <w:name w:val="footer"/>
    <w:basedOn w:val="Normal"/>
    <w:link w:val="FooterChar"/>
    <w:uiPriority w:val="99"/>
    <w:semiHidden/>
    <w:unhideWhenUsed/>
    <w:rsid w:val="00B17F73"/>
    <w:pPr>
      <w:tabs>
        <w:tab w:val="center" w:pos="4680"/>
        <w:tab w:val="right" w:pos="9360"/>
      </w:tabs>
    </w:pPr>
  </w:style>
  <w:style w:type="character" w:customStyle="1" w:styleId="FooterChar">
    <w:name w:val="Footer Char"/>
    <w:basedOn w:val="DefaultParagraphFont"/>
    <w:link w:val="Footer"/>
    <w:uiPriority w:val="99"/>
    <w:semiHidden/>
    <w:rsid w:val="00B1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353448">
      <w:bodyDiv w:val="1"/>
      <w:marLeft w:val="2"/>
      <w:marRight w:val="2"/>
      <w:marTop w:val="0"/>
      <w:marBottom w:val="0"/>
      <w:divBdr>
        <w:top w:val="none" w:sz="0" w:space="0" w:color="auto"/>
        <w:left w:val="none" w:sz="0" w:space="0" w:color="auto"/>
        <w:bottom w:val="none" w:sz="0" w:space="0" w:color="auto"/>
        <w:right w:val="none" w:sz="0" w:space="0" w:color="auto"/>
      </w:divBdr>
      <w:divsChild>
        <w:div w:id="1849371403">
          <w:marLeft w:val="0"/>
          <w:marRight w:val="0"/>
          <w:marTop w:val="0"/>
          <w:marBottom w:val="0"/>
          <w:divBdr>
            <w:top w:val="none" w:sz="0" w:space="0" w:color="auto"/>
            <w:left w:val="none" w:sz="0" w:space="0" w:color="auto"/>
            <w:bottom w:val="none" w:sz="0" w:space="0" w:color="auto"/>
            <w:right w:val="none" w:sz="0" w:space="0" w:color="auto"/>
          </w:divBdr>
          <w:divsChild>
            <w:div w:id="2053537149">
              <w:marLeft w:val="0"/>
              <w:marRight w:val="0"/>
              <w:marTop w:val="0"/>
              <w:marBottom w:val="0"/>
              <w:divBdr>
                <w:top w:val="none" w:sz="0" w:space="0" w:color="auto"/>
                <w:left w:val="none" w:sz="0" w:space="0" w:color="auto"/>
                <w:bottom w:val="none" w:sz="0" w:space="0" w:color="auto"/>
                <w:right w:val="none" w:sz="0" w:space="0" w:color="auto"/>
              </w:divBdr>
              <w:divsChild>
                <w:div w:id="1355109218">
                  <w:marLeft w:val="0"/>
                  <w:marRight w:val="0"/>
                  <w:marTop w:val="16"/>
                  <w:marBottom w:val="0"/>
                  <w:divBdr>
                    <w:top w:val="none" w:sz="0" w:space="0" w:color="auto"/>
                    <w:left w:val="none" w:sz="0" w:space="0" w:color="auto"/>
                    <w:bottom w:val="none" w:sz="0" w:space="0" w:color="auto"/>
                    <w:right w:val="none" w:sz="0" w:space="0" w:color="auto"/>
                  </w:divBdr>
                  <w:divsChild>
                    <w:div w:id="2086948239">
                      <w:marLeft w:val="0"/>
                      <w:marRight w:val="0"/>
                      <w:marTop w:val="0"/>
                      <w:marBottom w:val="0"/>
                      <w:divBdr>
                        <w:top w:val="none" w:sz="0" w:space="0" w:color="auto"/>
                        <w:left w:val="none" w:sz="0" w:space="0" w:color="auto"/>
                        <w:bottom w:val="none" w:sz="0" w:space="0" w:color="auto"/>
                        <w:right w:val="none" w:sz="0" w:space="0" w:color="auto"/>
                      </w:divBdr>
                    </w:div>
                    <w:div w:id="297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0903">
              <w:marLeft w:val="0"/>
              <w:marRight w:val="0"/>
              <w:marTop w:val="190"/>
              <w:marBottom w:val="0"/>
              <w:divBdr>
                <w:top w:val="none" w:sz="0" w:space="0" w:color="auto"/>
                <w:left w:val="none" w:sz="0" w:space="0" w:color="auto"/>
                <w:bottom w:val="none" w:sz="0" w:space="0" w:color="auto"/>
                <w:right w:val="none" w:sz="0" w:space="0" w:color="auto"/>
              </w:divBdr>
              <w:divsChild>
                <w:div w:id="908074672">
                  <w:marLeft w:val="0"/>
                  <w:marRight w:val="0"/>
                  <w:marTop w:val="0"/>
                  <w:marBottom w:val="0"/>
                  <w:divBdr>
                    <w:top w:val="none" w:sz="0" w:space="0" w:color="auto"/>
                    <w:left w:val="none" w:sz="0" w:space="0" w:color="auto"/>
                    <w:bottom w:val="none" w:sz="0" w:space="0" w:color="auto"/>
                    <w:right w:val="none" w:sz="0" w:space="0" w:color="auto"/>
                  </w:divBdr>
                  <w:divsChild>
                    <w:div w:id="1401060230">
                      <w:marLeft w:val="0"/>
                      <w:marRight w:val="0"/>
                      <w:marTop w:val="0"/>
                      <w:marBottom w:val="0"/>
                      <w:divBdr>
                        <w:top w:val="none" w:sz="0" w:space="0" w:color="auto"/>
                        <w:left w:val="none" w:sz="0" w:space="0" w:color="auto"/>
                        <w:bottom w:val="none" w:sz="0" w:space="0" w:color="auto"/>
                        <w:right w:val="none" w:sz="0" w:space="0" w:color="auto"/>
                      </w:divBdr>
                    </w:div>
                    <w:div w:id="2146045911">
                      <w:marLeft w:val="0"/>
                      <w:marRight w:val="0"/>
                      <w:marTop w:val="0"/>
                      <w:marBottom w:val="0"/>
                      <w:divBdr>
                        <w:top w:val="none" w:sz="0" w:space="0" w:color="auto"/>
                        <w:left w:val="none" w:sz="0" w:space="0" w:color="auto"/>
                        <w:bottom w:val="none" w:sz="0" w:space="0" w:color="auto"/>
                        <w:right w:val="none" w:sz="0" w:space="0" w:color="auto"/>
                      </w:divBdr>
                      <w:divsChild>
                        <w:div w:id="11384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hs.state.il.us/onenetlibrary/27897/documents/forms/il444-4280.pdf"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DHSHP76</dc:creator>
  <cp:lastModifiedBy>Shipp, Barbara</cp:lastModifiedBy>
  <cp:revision>4</cp:revision>
  <cp:lastPrinted>2013-07-03T14:31:00Z</cp:lastPrinted>
  <dcterms:created xsi:type="dcterms:W3CDTF">2016-06-20T18:29:00Z</dcterms:created>
  <dcterms:modified xsi:type="dcterms:W3CDTF">2016-06-20T18:37:00Z</dcterms:modified>
</cp:coreProperties>
</file>